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06B" w:rsidRDefault="00F5606B">
      <w:r>
        <w:t>For the Western Greater Yellowstone Consortium website:</w:t>
      </w:r>
    </w:p>
    <w:p w:rsidR="00F5606B" w:rsidRDefault="00F5606B"/>
    <w:p w:rsidR="00F5606B" w:rsidRDefault="00F5606B">
      <w:r>
        <w:t>Project Title: Multifaceted housing Study and Inventory of Housing Stock</w:t>
      </w:r>
    </w:p>
    <w:p w:rsidR="00F5606B" w:rsidRDefault="00F5606B"/>
    <w:p w:rsidR="00F5606B" w:rsidRDefault="00F5606B" w:rsidP="00FD623C">
      <w:r>
        <w:t xml:space="preserve">Project Summary:  </w:t>
      </w:r>
    </w:p>
    <w:p w:rsidR="00F5606B" w:rsidRDefault="00F5606B" w:rsidP="00FD623C">
      <w:r>
        <w:t>The Multifaceted Housing Study and Inventory of Housing Stock will:</w:t>
      </w:r>
    </w:p>
    <w:p w:rsidR="00F5606B" w:rsidRDefault="00F5606B" w:rsidP="00FD623C">
      <w:pPr>
        <w:pStyle w:val="ListParagraph"/>
        <w:numPr>
          <w:ilvl w:val="0"/>
          <w:numId w:val="1"/>
        </w:numPr>
      </w:pPr>
      <w:r>
        <w:t xml:space="preserve">evaluate the available and needed housing at various income levels throughout the region </w:t>
      </w:r>
    </w:p>
    <w:p w:rsidR="00F5606B" w:rsidRDefault="00F5606B" w:rsidP="00FD623C">
      <w:pPr>
        <w:pStyle w:val="ListParagraph"/>
        <w:numPr>
          <w:ilvl w:val="0"/>
          <w:numId w:val="1"/>
        </w:numPr>
      </w:pPr>
      <w:r>
        <w:t xml:space="preserve">establish prioritized regional objectives for meeting housing needs </w:t>
      </w:r>
    </w:p>
    <w:p w:rsidR="00F5606B" w:rsidRDefault="00F5606B" w:rsidP="00FD623C">
      <w:pPr>
        <w:pStyle w:val="ListParagraph"/>
        <w:numPr>
          <w:ilvl w:val="0"/>
          <w:numId w:val="1"/>
        </w:numPr>
      </w:pPr>
      <w:r>
        <w:t xml:space="preserve">identify strategies for achieving those regional housing objectives. Housing issues vary widely across the Western Greater Yellowstone region.  Similarly, the feasibility of potential solutions to those housing issues differ based on diverse economic realities and political contexts.  </w:t>
      </w:r>
    </w:p>
    <w:p w:rsidR="00F5606B" w:rsidRDefault="00F5606B" w:rsidP="00FD623C"/>
    <w:p w:rsidR="00F5606B" w:rsidRDefault="00F5606B" w:rsidP="00FD623C">
      <w:r>
        <w:t>This project will also evaluate the relationship between housing and transportation (the total cost burden of housing) on households in the region.</w:t>
      </w:r>
    </w:p>
    <w:p w:rsidR="00F5606B" w:rsidRDefault="00F5606B" w:rsidP="00FD623C"/>
    <w:p w:rsidR="00F5606B" w:rsidRDefault="00F5606B" w:rsidP="00FD623C">
      <w:r>
        <w:t xml:space="preserve">We will identify “affordability bands” in each community based on that community’s median income. For each band the study will identify household demographics, travel to work, type of housing, age of housing, cost burden of housing, and other available data to evaluate the current conditions of the housing. </w:t>
      </w:r>
    </w:p>
    <w:p w:rsidR="00F5606B" w:rsidRDefault="00F5606B"/>
    <w:p w:rsidR="00F5606B" w:rsidRDefault="00F5606B">
      <w:r>
        <w:t>Items (documents) to be posted:</w:t>
      </w:r>
    </w:p>
    <w:p w:rsidR="00F5606B" w:rsidRDefault="00F5606B"/>
    <w:p w:rsidR="00F5606B" w:rsidRDefault="00F5606B">
      <w:r>
        <w:t>Items for the integrated calendar:</w:t>
      </w:r>
    </w:p>
    <w:p w:rsidR="00F5606B" w:rsidRDefault="00F5606B"/>
    <w:p w:rsidR="00F5606B" w:rsidRDefault="00F5606B"/>
    <w:p w:rsidR="00F5606B" w:rsidRDefault="00F5606B">
      <w:r>
        <w:t>OLD</w:t>
      </w:r>
    </w:p>
    <w:p w:rsidR="00F5606B" w:rsidRDefault="00F5606B"/>
    <w:p w:rsidR="00F5606B" w:rsidRDefault="00F5606B"/>
    <w:p w:rsidR="00F5606B" w:rsidRPr="002C7868" w:rsidRDefault="00F5606B" w:rsidP="002C7868">
      <w:pPr>
        <w:spacing w:before="100" w:beforeAutospacing="1" w:after="100" w:afterAutospacing="1"/>
        <w:rPr>
          <w:rFonts w:ascii="Times" w:hAnsi="Times" w:cs="Times New Roman"/>
          <w:sz w:val="20"/>
          <w:szCs w:val="20"/>
        </w:rPr>
      </w:pPr>
      <w:r w:rsidRPr="002C7868">
        <w:rPr>
          <w:rFonts w:ascii="Times" w:hAnsi="Times" w:cs="Times New Roman"/>
          <w:sz w:val="20"/>
          <w:szCs w:val="20"/>
        </w:rPr>
        <w:t>Sustainable Yellowstone plans to conduct a $100,000 multi-faceted study to understand the housing needs of the Greater Yellowstone sub-region. The study will take inventory of the current housing options throughout the next three years, determining the mixture, condition and availability of housing. The study will help the committee and developers project ownership and rental housing needs for the next five years, and establish an “affordability band” for each city and county in the included areas. The affordability band will serve as a guide for housing developers so they can match their plans with the true needs of the population based on their income and economic status, diminishing the likelihood of under-occupied housing in an overbuilt community.</w:t>
      </w:r>
    </w:p>
    <w:p w:rsidR="00F5606B" w:rsidRPr="002C7868" w:rsidRDefault="00F5606B" w:rsidP="002C7868">
      <w:pPr>
        <w:spacing w:before="100" w:beforeAutospacing="1" w:after="100" w:afterAutospacing="1"/>
        <w:rPr>
          <w:rFonts w:ascii="Times" w:hAnsi="Times" w:cs="Times New Roman"/>
          <w:sz w:val="20"/>
          <w:szCs w:val="20"/>
        </w:rPr>
      </w:pPr>
      <w:r w:rsidRPr="002C7868">
        <w:rPr>
          <w:rFonts w:ascii="Times" w:hAnsi="Times" w:cs="Times New Roman"/>
          <w:sz w:val="20"/>
          <w:szCs w:val="20"/>
        </w:rPr>
        <w:t>A lack of housing at the appropriate income level is a concern that is evidences in all four counties. The consortium will serve as a forum for sharing problems and potential solutions to the present housing challenges. Teton County, WY has a long history of addressing affordable housing issues through the Jackson Hole Housing Trust and will lend itself as a valuable asset. Finding solutions to the following housing issues will be a central focus of the study:</w:t>
      </w:r>
    </w:p>
    <w:p w:rsidR="00F5606B" w:rsidRPr="002C7868" w:rsidRDefault="00F5606B" w:rsidP="002C7868">
      <w:pPr>
        <w:spacing w:before="100" w:beforeAutospacing="1" w:after="100" w:afterAutospacing="1"/>
        <w:rPr>
          <w:rFonts w:ascii="Times" w:hAnsi="Times" w:cs="Times New Roman"/>
          <w:sz w:val="20"/>
          <w:szCs w:val="20"/>
        </w:rPr>
      </w:pPr>
      <w:r w:rsidRPr="002C7868">
        <w:rPr>
          <w:rFonts w:ascii="Times" w:hAnsi="Times" w:cs="Times New Roman"/>
          <w:sz w:val="20"/>
          <w:szCs w:val="20"/>
        </w:rPr>
        <w:t>Fremont County, Idaho: Although the current recession decreased income rates and raised unemployment rates, the county’s overall property value did not decline, resulting in a lack of affordable housing for moderate to low income residents. The study will help determine the current condition and explore ways to provide affordable housing for residents.</w:t>
      </w:r>
    </w:p>
    <w:p w:rsidR="00F5606B" w:rsidRPr="002C7868" w:rsidRDefault="00F5606B" w:rsidP="002C7868">
      <w:pPr>
        <w:numPr>
          <w:ilvl w:val="0"/>
          <w:numId w:val="2"/>
        </w:numPr>
        <w:spacing w:before="100" w:beforeAutospacing="1" w:after="100" w:afterAutospacing="1"/>
        <w:rPr>
          <w:rFonts w:ascii="Times" w:hAnsi="Times" w:cs="Times New Roman"/>
          <w:sz w:val="20"/>
          <w:szCs w:val="20"/>
        </w:rPr>
      </w:pPr>
      <w:r w:rsidRPr="002C7868">
        <w:rPr>
          <w:rFonts w:ascii="Times" w:hAnsi="Times" w:cs="Times New Roman"/>
          <w:sz w:val="20"/>
          <w:szCs w:val="20"/>
        </w:rPr>
        <w:t>Teton County, Idaho: Among available housing, the average standard is low and many are energy deficient.</w:t>
      </w:r>
    </w:p>
    <w:p w:rsidR="00F5606B" w:rsidRPr="002C7868" w:rsidRDefault="00F5606B" w:rsidP="002C7868">
      <w:pPr>
        <w:numPr>
          <w:ilvl w:val="0"/>
          <w:numId w:val="2"/>
        </w:numPr>
        <w:spacing w:before="100" w:beforeAutospacing="1" w:after="100" w:afterAutospacing="1"/>
        <w:rPr>
          <w:rFonts w:ascii="Times" w:hAnsi="Times" w:cs="Times New Roman"/>
          <w:sz w:val="20"/>
          <w:szCs w:val="20"/>
        </w:rPr>
      </w:pPr>
      <w:r w:rsidRPr="002C7868">
        <w:rPr>
          <w:rFonts w:ascii="Times" w:hAnsi="Times" w:cs="Times New Roman"/>
          <w:sz w:val="20"/>
          <w:szCs w:val="20"/>
        </w:rPr>
        <w:t>Victor, Idaho: Victor is looking for appropriate ways to increase its density, perhaps by creating smaller blocks, narrower streets or alleyways. Currently the average plot size is one acre. Additional rental properties may also be a necessary addition in Victor.</w:t>
      </w:r>
    </w:p>
    <w:p w:rsidR="00F5606B" w:rsidRPr="002C7868" w:rsidRDefault="00F5606B" w:rsidP="002C7868">
      <w:pPr>
        <w:numPr>
          <w:ilvl w:val="0"/>
          <w:numId w:val="2"/>
        </w:numPr>
        <w:spacing w:before="100" w:beforeAutospacing="1" w:after="100" w:afterAutospacing="1"/>
        <w:rPr>
          <w:rFonts w:ascii="Times" w:hAnsi="Times" w:cs="Times New Roman"/>
          <w:sz w:val="20"/>
          <w:szCs w:val="20"/>
        </w:rPr>
      </w:pPr>
      <w:r w:rsidRPr="002C7868">
        <w:rPr>
          <w:rFonts w:ascii="Times" w:hAnsi="Times" w:cs="Times New Roman"/>
          <w:sz w:val="20"/>
          <w:szCs w:val="20"/>
        </w:rPr>
        <w:t>Madison County, Idaho:Located in Madison County is Idaho’s largest private university, BYU-Idaho. Due to the university, there is a high concentration of student housing in Madison County that is affiliated with BYU-Idaho. A study of Rexburg’s housing availability and its affordability band will increase awareness of the need for greater housing diversity.</w:t>
      </w:r>
    </w:p>
    <w:p w:rsidR="00F5606B" w:rsidRDefault="00F5606B"/>
    <w:p w:rsidR="00F5606B" w:rsidRDefault="00F5606B"/>
    <w:p w:rsidR="00F5606B" w:rsidRDefault="00F5606B"/>
    <w:sectPr w:rsidR="00F5606B" w:rsidSect="000952AF">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00100" w:usb3="00000000" w:csb0="80000000" w:csb1="00000000"/>
  </w:font>
  <w:font w:name="Times New Roman">
    <w:panose1 w:val="02020603050405020304"/>
    <w:charset w:val="00"/>
    <w:family w:val="auto"/>
    <w:pitch w:val="variable"/>
    <w:sig w:usb0="03000000" w:usb1="00000000" w:usb2="00000000" w:usb3="00000000" w:csb0="00000001" w:csb1="00000000"/>
  </w:font>
  <w:font w:name="Courier New">
    <w:panose1 w:val="02070309020205020404"/>
    <w:charset w:val="00"/>
    <w:family w:val="auto"/>
    <w:pitch w:val="variable"/>
    <w:sig w:usb0="03000000" w:usb1="00000000" w:usb2="00000000" w:usb3="00000000" w:csb0="00000001" w:csb1="00000000"/>
  </w:font>
  <w:font w:name="Wingdings">
    <w:panose1 w:val="05020102010804080708"/>
    <w:charset w:val="02"/>
    <w:family w:val="auto"/>
    <w:pitch w:val="variable"/>
    <w:sig w:usb0="00000000" w:usb1="00000000" w:usb2="00000100" w:usb3="00000000" w:csb0="80000000" w:csb1="00000000"/>
  </w:font>
  <w:font w:name="Footlight MT Light">
    <w:panose1 w:val="0204060206030A0203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 w:name="Verdana">
    <w:panose1 w:val="020B0604030504040204"/>
    <w:charset w:val="00"/>
    <w:family w:val="auto"/>
    <w:pitch w:val="variable"/>
    <w:sig w:usb0="03000000" w:usb1="00000000" w:usb2="00000000" w:usb3="00000000" w:csb0="00000001" w:csb1="00000000"/>
  </w:font>
  <w:font w:name="Times">
    <w:panose1 w:val="02000500000000000000"/>
    <w:charset w:val="00"/>
    <w:family w:val="auto"/>
    <w:pitch w:val="variable"/>
    <w:sig w:usb0="03000000" w:usb1="00000000" w:usb2="00000000" w:usb3="00000000" w:csb0="00000001" w:csb1="00000000"/>
  </w:font>
  <w:font w:name="Arial">
    <w:panose1 w:val="020B0604020202020204"/>
    <w:charset w:val="4D"/>
    <w:family w:val="swiss"/>
    <w:notTrueType/>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1179C"/>
    <w:multiLevelType w:val="hybridMultilevel"/>
    <w:tmpl w:val="C92AD2E0"/>
    <w:lvl w:ilvl="0" w:tplc="6FD819C8">
      <w:start w:val="1"/>
      <w:numFmt w:val="bullet"/>
      <w:lvlText w:val=""/>
      <w:lvlJc w:val="left"/>
      <w:pPr>
        <w:tabs>
          <w:tab w:val="num" w:pos="720"/>
        </w:tabs>
        <w:ind w:left="720" w:hanging="360"/>
      </w:pPr>
      <w:rPr>
        <w:rFonts w:ascii="Symbol" w:hAnsi="Symbol" w:hint="default"/>
        <w:sz w:val="20"/>
      </w:rPr>
    </w:lvl>
    <w:lvl w:ilvl="1" w:tplc="6EC87EC0" w:tentative="1">
      <w:start w:val="1"/>
      <w:numFmt w:val="bullet"/>
      <w:lvlText w:val="o"/>
      <w:lvlJc w:val="left"/>
      <w:pPr>
        <w:tabs>
          <w:tab w:val="num" w:pos="1440"/>
        </w:tabs>
        <w:ind w:left="1440" w:hanging="360"/>
      </w:pPr>
      <w:rPr>
        <w:rFonts w:ascii="Courier New" w:hAnsi="Courier New" w:hint="default"/>
        <w:sz w:val="20"/>
      </w:rPr>
    </w:lvl>
    <w:lvl w:ilvl="2" w:tplc="F44456A6" w:tentative="1">
      <w:start w:val="1"/>
      <w:numFmt w:val="bullet"/>
      <w:lvlText w:val=""/>
      <w:lvlJc w:val="left"/>
      <w:pPr>
        <w:tabs>
          <w:tab w:val="num" w:pos="2160"/>
        </w:tabs>
        <w:ind w:left="2160" w:hanging="360"/>
      </w:pPr>
      <w:rPr>
        <w:rFonts w:ascii="Wingdings" w:hAnsi="Wingdings" w:hint="default"/>
        <w:sz w:val="20"/>
      </w:rPr>
    </w:lvl>
    <w:lvl w:ilvl="3" w:tplc="9C0CFE28" w:tentative="1">
      <w:start w:val="1"/>
      <w:numFmt w:val="bullet"/>
      <w:lvlText w:val=""/>
      <w:lvlJc w:val="left"/>
      <w:pPr>
        <w:tabs>
          <w:tab w:val="num" w:pos="2880"/>
        </w:tabs>
        <w:ind w:left="2880" w:hanging="360"/>
      </w:pPr>
      <w:rPr>
        <w:rFonts w:ascii="Wingdings" w:hAnsi="Wingdings" w:hint="default"/>
        <w:sz w:val="20"/>
      </w:rPr>
    </w:lvl>
    <w:lvl w:ilvl="4" w:tplc="0FB02FE6" w:tentative="1">
      <w:start w:val="1"/>
      <w:numFmt w:val="bullet"/>
      <w:lvlText w:val=""/>
      <w:lvlJc w:val="left"/>
      <w:pPr>
        <w:tabs>
          <w:tab w:val="num" w:pos="3600"/>
        </w:tabs>
        <w:ind w:left="3600" w:hanging="360"/>
      </w:pPr>
      <w:rPr>
        <w:rFonts w:ascii="Wingdings" w:hAnsi="Wingdings" w:hint="default"/>
        <w:sz w:val="20"/>
      </w:rPr>
    </w:lvl>
    <w:lvl w:ilvl="5" w:tplc="F8380018" w:tentative="1">
      <w:start w:val="1"/>
      <w:numFmt w:val="bullet"/>
      <w:lvlText w:val=""/>
      <w:lvlJc w:val="left"/>
      <w:pPr>
        <w:tabs>
          <w:tab w:val="num" w:pos="4320"/>
        </w:tabs>
        <w:ind w:left="4320" w:hanging="360"/>
      </w:pPr>
      <w:rPr>
        <w:rFonts w:ascii="Wingdings" w:hAnsi="Wingdings" w:hint="default"/>
        <w:sz w:val="20"/>
      </w:rPr>
    </w:lvl>
    <w:lvl w:ilvl="6" w:tplc="18A60A9E" w:tentative="1">
      <w:start w:val="1"/>
      <w:numFmt w:val="bullet"/>
      <w:lvlText w:val=""/>
      <w:lvlJc w:val="left"/>
      <w:pPr>
        <w:tabs>
          <w:tab w:val="num" w:pos="5040"/>
        </w:tabs>
        <w:ind w:left="5040" w:hanging="360"/>
      </w:pPr>
      <w:rPr>
        <w:rFonts w:ascii="Wingdings" w:hAnsi="Wingdings" w:hint="default"/>
        <w:sz w:val="20"/>
      </w:rPr>
    </w:lvl>
    <w:lvl w:ilvl="7" w:tplc="B3BA69CC" w:tentative="1">
      <w:start w:val="1"/>
      <w:numFmt w:val="bullet"/>
      <w:lvlText w:val=""/>
      <w:lvlJc w:val="left"/>
      <w:pPr>
        <w:tabs>
          <w:tab w:val="num" w:pos="5760"/>
        </w:tabs>
        <w:ind w:left="5760" w:hanging="360"/>
      </w:pPr>
      <w:rPr>
        <w:rFonts w:ascii="Wingdings" w:hAnsi="Wingdings" w:hint="default"/>
        <w:sz w:val="20"/>
      </w:rPr>
    </w:lvl>
    <w:lvl w:ilvl="8" w:tplc="30E6468C" w:tentative="1">
      <w:start w:val="1"/>
      <w:numFmt w:val="bullet"/>
      <w:lvlText w:val=""/>
      <w:lvlJc w:val="left"/>
      <w:pPr>
        <w:tabs>
          <w:tab w:val="num" w:pos="6480"/>
        </w:tabs>
        <w:ind w:left="6480" w:hanging="360"/>
      </w:pPr>
      <w:rPr>
        <w:rFonts w:ascii="Wingdings" w:hAnsi="Wingdings" w:hint="default"/>
        <w:sz w:val="20"/>
      </w:rPr>
    </w:lvl>
  </w:abstractNum>
  <w:abstractNum w:abstractNumId="1">
    <w:nsid w:val="71482D11"/>
    <w:multiLevelType w:val="hybridMultilevel"/>
    <w:tmpl w:val="8F788BF6"/>
    <w:lvl w:ilvl="0" w:tplc="7AAA52F6">
      <w:start w:val="1"/>
      <w:numFmt w:val="bullet"/>
      <w:lvlText w:val="•"/>
      <w:lvlJc w:val="left"/>
      <w:pPr>
        <w:ind w:left="720" w:hanging="360"/>
      </w:pPr>
      <w:rPr>
        <w:rFonts w:ascii="Footlight MT Light" w:eastAsia="Times New Roman" w:hAnsi="Footlight MT Light"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doNotTrackMoves/>
  <w:defaultTabStop w:val="720"/>
  <w:doNotHyphenateCaps/>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38E3"/>
    <w:rsid w:val="00004285"/>
    <w:rsid w:val="000319EB"/>
    <w:rsid w:val="0007192C"/>
    <w:rsid w:val="000952AF"/>
    <w:rsid w:val="000B168F"/>
    <w:rsid w:val="001153BE"/>
    <w:rsid w:val="001503CD"/>
    <w:rsid w:val="001A091A"/>
    <w:rsid w:val="00215C9C"/>
    <w:rsid w:val="00224BC6"/>
    <w:rsid w:val="00283889"/>
    <w:rsid w:val="002C7868"/>
    <w:rsid w:val="00335E24"/>
    <w:rsid w:val="00367D56"/>
    <w:rsid w:val="003A2250"/>
    <w:rsid w:val="003B0B1E"/>
    <w:rsid w:val="0043067B"/>
    <w:rsid w:val="004E45FB"/>
    <w:rsid w:val="004E626F"/>
    <w:rsid w:val="004F4F84"/>
    <w:rsid w:val="005777FD"/>
    <w:rsid w:val="00581901"/>
    <w:rsid w:val="00682A00"/>
    <w:rsid w:val="006A011E"/>
    <w:rsid w:val="006B1628"/>
    <w:rsid w:val="006F6CA1"/>
    <w:rsid w:val="006F7893"/>
    <w:rsid w:val="007218FE"/>
    <w:rsid w:val="00880B23"/>
    <w:rsid w:val="00894D6C"/>
    <w:rsid w:val="008E4F36"/>
    <w:rsid w:val="009B7CD1"/>
    <w:rsid w:val="009D1034"/>
    <w:rsid w:val="009D3E8D"/>
    <w:rsid w:val="00A616DC"/>
    <w:rsid w:val="00AE18F5"/>
    <w:rsid w:val="00AE3DED"/>
    <w:rsid w:val="00AF7EBF"/>
    <w:rsid w:val="00B3710C"/>
    <w:rsid w:val="00B84ED4"/>
    <w:rsid w:val="00B94FD2"/>
    <w:rsid w:val="00BE21BA"/>
    <w:rsid w:val="00C02075"/>
    <w:rsid w:val="00CB36F5"/>
    <w:rsid w:val="00CD69CD"/>
    <w:rsid w:val="00D25C61"/>
    <w:rsid w:val="00D76058"/>
    <w:rsid w:val="00DE170F"/>
    <w:rsid w:val="00DE38E3"/>
    <w:rsid w:val="00DF0467"/>
    <w:rsid w:val="00E27A52"/>
    <w:rsid w:val="00E7515C"/>
    <w:rsid w:val="00F5606B"/>
    <w:rsid w:val="00F60256"/>
    <w:rsid w:val="00F93445"/>
    <w:rsid w:val="00FA5858"/>
    <w:rsid w:val="00FC365D"/>
    <w:rsid w:val="00FC57D8"/>
    <w:rsid w:val="00FC7541"/>
    <w:rsid w:val="00FD24D5"/>
    <w:rsid w:val="00FD56F3"/>
    <w:rsid w:val="00FD623C"/>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nhideWhenUsed="0" w:qFormat="1"/>
    <w:lsdException w:name="Emphasis" w:semiHidden="0" w:unhideWhenUsed="0" w:qFormat="1"/>
    <w:lsdException w:name="Normal (Web)"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65D"/>
    <w:rPr>
      <w:rFonts w:cs="Calibri"/>
      <w:sz w:val="22"/>
      <w:szCs w:val="22"/>
    </w:rPr>
  </w:style>
  <w:style w:type="paragraph" w:styleId="Heading1">
    <w:name w:val="heading 1"/>
    <w:basedOn w:val="Normal"/>
    <w:link w:val="Heading1Char"/>
    <w:uiPriority w:val="99"/>
    <w:qFormat/>
    <w:rsid w:val="00FC365D"/>
    <w:pPr>
      <w:spacing w:before="100" w:beforeAutospacing="1" w:after="45"/>
      <w:outlineLvl w:val="0"/>
    </w:pPr>
    <w:rPr>
      <w:rFonts w:ascii="Verdana" w:hAnsi="Verdana" w:cs="Times New Roman"/>
      <w:b/>
      <w:bCs/>
      <w:color w:val="666666"/>
      <w:kern w:val="36"/>
      <w:sz w:val="32"/>
      <w:szCs w:val="32"/>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rsid w:val="00FC365D"/>
    <w:rPr>
      <w:rFonts w:ascii="Verdana" w:hAnsi="Verdana" w:cs="Times New Roman"/>
      <w:b/>
      <w:bCs/>
      <w:color w:val="666666"/>
      <w:kern w:val="36"/>
      <w:sz w:val="32"/>
    </w:rPr>
  </w:style>
  <w:style w:type="character" w:styleId="Strong">
    <w:name w:val="Strong"/>
    <w:basedOn w:val="DefaultParagraphFont"/>
    <w:uiPriority w:val="99"/>
    <w:qFormat/>
    <w:rsid w:val="00FC365D"/>
    <w:rPr>
      <w:rFonts w:cs="Times New Roman"/>
      <w:b/>
      <w:bCs/>
    </w:rPr>
  </w:style>
  <w:style w:type="character" w:styleId="Emphasis">
    <w:name w:val="Emphasis"/>
    <w:basedOn w:val="DefaultParagraphFont"/>
    <w:uiPriority w:val="99"/>
    <w:qFormat/>
    <w:rsid w:val="00FC365D"/>
    <w:rPr>
      <w:rFonts w:cs="Times New Roman"/>
      <w:b/>
      <w:bCs/>
    </w:rPr>
  </w:style>
  <w:style w:type="paragraph" w:styleId="ListParagraph">
    <w:name w:val="List Paragraph"/>
    <w:basedOn w:val="Normal"/>
    <w:uiPriority w:val="99"/>
    <w:qFormat/>
    <w:rsid w:val="00FC365D"/>
    <w:pPr>
      <w:ind w:left="720"/>
    </w:pPr>
  </w:style>
  <w:style w:type="paragraph" w:styleId="NormalWeb">
    <w:name w:val="Normal (Web)"/>
    <w:basedOn w:val="Normal"/>
    <w:uiPriority w:val="99"/>
    <w:rsid w:val="002C7868"/>
    <w:pPr>
      <w:spacing w:before="100" w:beforeAutospacing="1" w:after="100" w:afterAutospacing="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2898</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the Western Greater Yellowstone Consortium website:</dc:title>
  <dc:subject/>
  <dc:creator>Wendy Green Lowe</dc:creator>
  <cp:keywords/>
  <cp:lastModifiedBy>Nelson Soucek</cp:lastModifiedBy>
  <cp:revision>3</cp:revision>
  <dcterms:created xsi:type="dcterms:W3CDTF">2013-06-12T02:42:00Z</dcterms:created>
  <dcterms:modified xsi:type="dcterms:W3CDTF">2013-06-12T02:48:00Z</dcterms:modified>
</cp:coreProperties>
</file>