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BB0" w:rsidRDefault="00373104" w:rsidP="00C10ABC">
      <w:pPr>
        <w:tabs>
          <w:tab w:val="left" w:pos="90"/>
        </w:tabs>
        <w:rPr>
          <w:sz w:val="40"/>
          <w:szCs w:val="40"/>
        </w:rPr>
      </w:pPr>
      <w:r>
        <w:rPr>
          <w:noProof/>
          <w:sz w:val="40"/>
          <w:szCs w:val="40"/>
        </w:rPr>
        <w:drawing>
          <wp:anchor distT="0" distB="0" distL="114300" distR="114300" simplePos="0" relativeHeight="251671552" behindDoc="0" locked="0" layoutInCell="1" allowOverlap="1">
            <wp:simplePos x="0" y="0"/>
            <wp:positionH relativeFrom="column">
              <wp:posOffset>-152399</wp:posOffset>
            </wp:positionH>
            <wp:positionV relativeFrom="paragraph">
              <wp:posOffset>-171449</wp:posOffset>
            </wp:positionV>
            <wp:extent cx="4915628" cy="121920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915628" cy="1219200"/>
                    </a:xfrm>
                    <a:prstGeom prst="rect">
                      <a:avLst/>
                    </a:prstGeom>
                    <a:noFill/>
                    <a:ln w="9525">
                      <a:noFill/>
                      <a:miter lim="800000"/>
                      <a:headEnd/>
                      <a:tailEnd/>
                    </a:ln>
                  </pic:spPr>
                </pic:pic>
              </a:graphicData>
            </a:graphic>
          </wp:anchor>
        </w:drawing>
      </w:r>
    </w:p>
    <w:p w:rsidR="005F2BB0" w:rsidRDefault="005F2BB0" w:rsidP="00DE29D5">
      <w:pPr>
        <w:jc w:val="center"/>
        <w:rPr>
          <w:sz w:val="40"/>
          <w:szCs w:val="40"/>
        </w:rPr>
      </w:pPr>
    </w:p>
    <w:p w:rsidR="005F2BB0" w:rsidRDefault="005F2BB0" w:rsidP="00DE29D5">
      <w:pPr>
        <w:jc w:val="center"/>
        <w:rPr>
          <w:sz w:val="40"/>
          <w:szCs w:val="40"/>
        </w:rPr>
      </w:pPr>
    </w:p>
    <w:p w:rsidR="005F2BB0" w:rsidRDefault="005F2BB0" w:rsidP="00DE29D5">
      <w:pPr>
        <w:jc w:val="center"/>
        <w:rPr>
          <w:sz w:val="40"/>
          <w:szCs w:val="40"/>
        </w:rPr>
      </w:pPr>
    </w:p>
    <w:p w:rsidR="005F2BB0" w:rsidRDefault="005F2BB0" w:rsidP="00DE29D5">
      <w:pPr>
        <w:jc w:val="center"/>
        <w:rPr>
          <w:sz w:val="40"/>
          <w:szCs w:val="40"/>
        </w:rPr>
      </w:pPr>
    </w:p>
    <w:p w:rsidR="005F2BB0" w:rsidRDefault="00244690" w:rsidP="00C10ABC">
      <w:pPr>
        <w:jc w:val="center"/>
        <w:rPr>
          <w:sz w:val="96"/>
          <w:szCs w:val="96"/>
        </w:rPr>
      </w:pPr>
      <w:r>
        <w:rPr>
          <w:sz w:val="96"/>
          <w:szCs w:val="96"/>
        </w:rPr>
        <w:t>Fremont County Housing</w:t>
      </w:r>
    </w:p>
    <w:p w:rsidR="00C10ABC" w:rsidRPr="00C10ABC" w:rsidRDefault="00244690" w:rsidP="00C10ABC">
      <w:pPr>
        <w:jc w:val="center"/>
        <w:rPr>
          <w:sz w:val="44"/>
          <w:szCs w:val="44"/>
        </w:rPr>
      </w:pPr>
      <w:r>
        <w:rPr>
          <w:sz w:val="44"/>
          <w:szCs w:val="44"/>
        </w:rPr>
        <w:t>Market Analysis</w:t>
      </w:r>
    </w:p>
    <w:p w:rsidR="00445CFA" w:rsidRDefault="00445CFA" w:rsidP="00445CFA">
      <w:pPr>
        <w:rPr>
          <w:sz w:val="52"/>
          <w:szCs w:val="52"/>
        </w:rPr>
      </w:pPr>
    </w:p>
    <w:p w:rsidR="00147D6D" w:rsidRDefault="00CC0BA6" w:rsidP="00147D6D">
      <w:pPr>
        <w:rPr>
          <w:sz w:val="52"/>
          <w:szCs w:val="52"/>
        </w:rPr>
      </w:pPr>
      <w:r>
        <w:rPr>
          <w:noProof/>
          <w:sz w:val="52"/>
          <w:szCs w:val="52"/>
          <w:lang w:eastAsia="zh-TW"/>
        </w:rPr>
        <w:pict>
          <v:shapetype id="_x0000_t202" coordsize="21600,21600" o:spt="202" path="m,l,21600r21600,l21600,xe">
            <v:stroke joinstyle="miter"/>
            <v:path gradientshapeok="t" o:connecttype="rect"/>
          </v:shapetype>
          <v:shape id="_x0000_s1035" type="#_x0000_t202" style="position:absolute;margin-left:-12.1pt;margin-top:296.85pt;width:488.5pt;height:35.3pt;z-index:251676672;mso-height-percent:200;mso-height-percent:200;mso-width-relative:margin;mso-height-relative:margin" stroked="f">
            <v:textbox style="mso-fit-shape-to-text:t">
              <w:txbxContent>
                <w:p w:rsidR="001B6FFE" w:rsidRPr="005F2BB0" w:rsidRDefault="001B6FFE">
                  <w:pPr>
                    <w:rPr>
                      <w:sz w:val="28"/>
                      <w:szCs w:val="28"/>
                    </w:rPr>
                  </w:pPr>
                  <w:r w:rsidRPr="005F2BB0">
                    <w:rPr>
                      <w:sz w:val="28"/>
                      <w:szCs w:val="28"/>
                    </w:rPr>
                    <w:t xml:space="preserve">Research Team: </w:t>
                  </w:r>
                  <w:r>
                    <w:rPr>
                      <w:sz w:val="28"/>
                      <w:szCs w:val="28"/>
                    </w:rPr>
                    <w:t>Jeffrey Ryan, Brian Ward, Don Johnson, Tom Hansen</w:t>
                  </w:r>
                </w:p>
              </w:txbxContent>
            </v:textbox>
          </v:shape>
        </w:pict>
      </w:r>
      <w:r w:rsidRPr="00CC0BA6">
        <w:rPr>
          <w:noProof/>
          <w:sz w:val="32"/>
          <w:szCs w:val="32"/>
          <w:lang w:eastAsia="zh-TW"/>
        </w:rPr>
        <w:pict>
          <v:shape id="_x0000_s1036" type="#_x0000_t202" style="position:absolute;margin-left:-13.05pt;margin-top:274.7pt;width:187.2pt;height:28.5pt;z-index:251678720;mso-width-percent:400;mso-width-percent:400;mso-width-relative:margin;mso-height-relative:margin" stroked="f">
            <v:textbox>
              <w:txbxContent>
                <w:p w:rsidR="001B6FFE" w:rsidRPr="00764386" w:rsidRDefault="001B6FFE">
                  <w:pPr>
                    <w:rPr>
                      <w:color w:val="4E5612"/>
                      <w:sz w:val="32"/>
                      <w:szCs w:val="32"/>
                    </w:rPr>
                  </w:pPr>
                  <w:r w:rsidRPr="00764386">
                    <w:rPr>
                      <w:color w:val="4E5612"/>
                      <w:sz w:val="32"/>
                      <w:szCs w:val="32"/>
                    </w:rPr>
                    <w:t>Spring 2012</w:t>
                  </w:r>
                </w:p>
              </w:txbxContent>
            </v:textbox>
          </v:shape>
        </w:pict>
      </w:r>
      <w:r w:rsidRPr="00CC0BA6">
        <w:rPr>
          <w:noProof/>
          <w:sz w:val="96"/>
          <w:szCs w:val="96"/>
        </w:rPr>
        <w:pict>
          <v:shapetype id="_x0000_t32" coordsize="21600,21600" o:spt="32" o:oned="t" path="m,l21600,21600e" filled="f">
            <v:path arrowok="t" fillok="f" o:connecttype="none"/>
            <o:lock v:ext="edit" shapetype="t"/>
          </v:shapetype>
          <v:shape id="_x0000_s1043" type="#_x0000_t32" style="position:absolute;margin-left:-107.85pt;margin-top:332.15pt;width:650.3pt;height:.05pt;z-index:251679744" o:connectortype="straight" strokecolor="#bbc41f" strokeweight=".5pt"/>
        </w:pict>
      </w:r>
      <w:r w:rsidRPr="00CC0BA6">
        <w:rPr>
          <w:noProof/>
          <w:sz w:val="96"/>
          <w:szCs w:val="96"/>
        </w:rPr>
        <w:pict>
          <v:shape id="_x0000_s1044" type="#_x0000_t32" style="position:absolute;margin-left:-92.3pt;margin-top:339.6pt;width:650.3pt;height:.05pt;z-index:251680768" o:connectortype="straight" strokecolor="#556508" strokeweight="1pt"/>
        </w:pict>
      </w:r>
    </w:p>
    <w:p w:rsidR="00147D6D" w:rsidRDefault="00147D6D" w:rsidP="00147D6D">
      <w:pPr>
        <w:rPr>
          <w:sz w:val="52"/>
          <w:szCs w:val="52"/>
        </w:rPr>
      </w:pPr>
    </w:p>
    <w:p w:rsidR="00147D6D" w:rsidRDefault="00147D6D" w:rsidP="00147D6D">
      <w:pPr>
        <w:rPr>
          <w:sz w:val="52"/>
          <w:szCs w:val="52"/>
        </w:rPr>
      </w:pPr>
    </w:p>
    <w:p w:rsidR="00147D6D" w:rsidRDefault="00147D6D" w:rsidP="00147D6D">
      <w:pPr>
        <w:rPr>
          <w:sz w:val="52"/>
          <w:szCs w:val="52"/>
        </w:rPr>
      </w:pPr>
    </w:p>
    <w:p w:rsidR="00147D6D" w:rsidRDefault="00147D6D" w:rsidP="00147D6D">
      <w:pPr>
        <w:rPr>
          <w:sz w:val="52"/>
          <w:szCs w:val="52"/>
        </w:rPr>
      </w:pPr>
    </w:p>
    <w:p w:rsidR="00147D6D" w:rsidRDefault="00147D6D" w:rsidP="00147D6D">
      <w:pPr>
        <w:rPr>
          <w:sz w:val="52"/>
          <w:szCs w:val="52"/>
        </w:rPr>
      </w:pPr>
    </w:p>
    <w:p w:rsidR="00DD3AA9" w:rsidRPr="00147D6D" w:rsidRDefault="00445CFA" w:rsidP="00147D6D">
      <w:pPr>
        <w:pStyle w:val="Heading1"/>
        <w:rPr>
          <w:color w:val="4A4B0C"/>
          <w:sz w:val="52"/>
          <w:szCs w:val="52"/>
        </w:rPr>
      </w:pPr>
      <w:bookmarkStart w:id="0" w:name="_Toc329954127"/>
      <w:r w:rsidRPr="00147D6D">
        <w:rPr>
          <w:color w:val="4A4B0C"/>
        </w:rPr>
        <w:lastRenderedPageBreak/>
        <w:t>Executive Summary</w:t>
      </w:r>
      <w:bookmarkEnd w:id="0"/>
    </w:p>
    <w:p w:rsidR="00DD3AA9" w:rsidRDefault="00DD3AA9" w:rsidP="00DD3AA9">
      <w:pPr>
        <w:spacing w:line="240" w:lineRule="auto"/>
        <w:contextualSpacing/>
        <w:rPr>
          <w:b/>
          <w:color w:val="4E5612"/>
          <w:sz w:val="25"/>
        </w:rPr>
      </w:pPr>
    </w:p>
    <w:p w:rsidR="00DD3AA9" w:rsidRPr="00764386" w:rsidRDefault="00DD3AA9" w:rsidP="00DD3AA9">
      <w:pPr>
        <w:spacing w:line="240" w:lineRule="auto"/>
        <w:contextualSpacing/>
        <w:rPr>
          <w:b/>
          <w:color w:val="4E5612"/>
          <w:sz w:val="25"/>
        </w:rPr>
      </w:pPr>
      <w:r>
        <w:rPr>
          <w:b/>
          <w:color w:val="4E5612"/>
          <w:sz w:val="25"/>
        </w:rPr>
        <w:t>Housing Market Analysis</w:t>
      </w:r>
    </w:p>
    <w:p w:rsidR="00BA4FDF" w:rsidRDefault="00F21271" w:rsidP="004A48B0">
      <w:r>
        <w:t>M</w:t>
      </w:r>
      <w:r w:rsidR="00EF08CD">
        <w:t>ost people with mortgages are more financially stable and are living in affordable housing.</w:t>
      </w:r>
      <w:r w:rsidR="00BA4FDF">
        <w:t xml:space="preserve"> </w:t>
      </w:r>
      <w:r w:rsidR="00C644F2">
        <w:t xml:space="preserve"> According to the Department of Housing and Urban Development (HUD),</w:t>
      </w:r>
      <w:r w:rsidR="00BA4FDF">
        <w:t xml:space="preserve"> the most that should be spent on housing is 30%</w:t>
      </w:r>
      <w:r w:rsidR="00C644F2">
        <w:t xml:space="preserve"> of</w:t>
      </w:r>
      <w:r w:rsidR="00BA4FDF">
        <w:t xml:space="preserve"> household income.</w:t>
      </w:r>
      <w:r w:rsidR="00EF08CD">
        <w:t xml:space="preserve"> </w:t>
      </w:r>
      <w:r w:rsidR="00C644F2">
        <w:t xml:space="preserve">Many </w:t>
      </w:r>
      <w:r w:rsidR="00EF08CD">
        <w:t>of</w:t>
      </w:r>
      <w:r w:rsidR="00C644F2">
        <w:t xml:space="preserve"> the</w:t>
      </w:r>
      <w:r w:rsidR="00EF08CD">
        <w:t xml:space="preserve"> people</w:t>
      </w:r>
      <w:r w:rsidR="00BA4FDF">
        <w:t xml:space="preserve"> in this study</w:t>
      </w:r>
      <w:r w:rsidR="00EF08CD">
        <w:t xml:space="preserve"> who are renting</w:t>
      </w:r>
      <w:r w:rsidR="0096072B">
        <w:t xml:space="preserve"> spend more than 30% of their income on rental costs. Based on the research, the areas with the least affordable housing are </w:t>
      </w:r>
      <w:r>
        <w:t xml:space="preserve">the </w:t>
      </w:r>
      <w:r w:rsidR="0096072B">
        <w:t>Teton Count</w:t>
      </w:r>
      <w:r>
        <w:t>ies</w:t>
      </w:r>
      <w:r w:rsidR="0096072B">
        <w:t xml:space="preserve"> </w:t>
      </w:r>
      <w:r>
        <w:t>(</w:t>
      </w:r>
      <w:r w:rsidR="0096072B">
        <w:t>Idaho and Wyoming</w:t>
      </w:r>
      <w:r>
        <w:t>)</w:t>
      </w:r>
      <w:r w:rsidR="0096072B">
        <w:t xml:space="preserve"> and Rexburg, Idaho.</w:t>
      </w:r>
    </w:p>
    <w:p w:rsidR="00C644F2" w:rsidRDefault="00C644F2" w:rsidP="004A48B0">
      <w:r>
        <w:t xml:space="preserve">Another area of concern is high commute times.  Many residents of </w:t>
      </w:r>
      <w:proofErr w:type="spellStart"/>
      <w:r>
        <w:t>Driggs</w:t>
      </w:r>
      <w:proofErr w:type="spellEnd"/>
      <w:r>
        <w:t xml:space="preserve"> and Victor commute to Jackson for work.  </w:t>
      </w:r>
      <w:r w:rsidR="00956365">
        <w:t>This concern becomes greater w</w:t>
      </w:r>
      <w:r>
        <w:t xml:space="preserve">hen coupled with </w:t>
      </w:r>
      <w:r w:rsidR="00956365">
        <w:t>the disparity between income and availability of affordable housing.  Despite recommendations, there are very unique circumstances to each municipality and the information herein should be considered through the lens of those unique circumstances.</w:t>
      </w:r>
    </w:p>
    <w:p w:rsidR="00AA2CEB" w:rsidRDefault="00AA2CEB">
      <w:pPr>
        <w:rPr>
          <w:color w:val="4A4B0C"/>
        </w:rPr>
      </w:pPr>
      <w:r>
        <w:rPr>
          <w:b/>
          <w:bCs/>
          <w:color w:val="4A4B0C"/>
        </w:rPr>
        <w:br w:type="page"/>
      </w:r>
    </w:p>
    <w:sdt>
      <w:sdtPr>
        <w:rPr>
          <w:rFonts w:ascii="Garamond" w:eastAsiaTheme="minorHAnsi" w:hAnsi="Garamond" w:cstheme="minorBidi"/>
          <w:b w:val="0"/>
          <w:bCs w:val="0"/>
          <w:color w:val="4A4B0C"/>
          <w:sz w:val="24"/>
          <w:szCs w:val="22"/>
        </w:rPr>
        <w:id w:val="34567877"/>
        <w:docPartObj>
          <w:docPartGallery w:val="Table of Contents"/>
          <w:docPartUnique/>
        </w:docPartObj>
      </w:sdtPr>
      <w:sdtEndPr>
        <w:rPr>
          <w:color w:val="auto"/>
        </w:rPr>
      </w:sdtEndPr>
      <w:sdtContent>
        <w:p w:rsidR="00147D6D" w:rsidRPr="00147D6D" w:rsidRDefault="00147D6D">
          <w:pPr>
            <w:pStyle w:val="TOCHeading"/>
            <w:rPr>
              <w:color w:val="4A4B0C"/>
            </w:rPr>
          </w:pPr>
          <w:r w:rsidRPr="00147D6D">
            <w:rPr>
              <w:color w:val="4A4B0C"/>
            </w:rPr>
            <w:t>Table of Contents</w:t>
          </w:r>
        </w:p>
        <w:p w:rsidR="00355BC6" w:rsidRDefault="00CC0BA6">
          <w:pPr>
            <w:pStyle w:val="TOC1"/>
            <w:tabs>
              <w:tab w:val="right" w:leader="dot" w:pos="9350"/>
            </w:tabs>
            <w:rPr>
              <w:rFonts w:eastAsiaTheme="minorEastAsia"/>
              <w:b w:val="0"/>
              <w:noProof/>
              <w:sz w:val="22"/>
              <w:szCs w:val="22"/>
            </w:rPr>
          </w:pPr>
          <w:r w:rsidRPr="00CC0BA6">
            <w:rPr>
              <w:color w:val="4A4B0C"/>
            </w:rPr>
            <w:fldChar w:fldCharType="begin"/>
          </w:r>
          <w:r w:rsidR="00147D6D" w:rsidRPr="00147D6D">
            <w:rPr>
              <w:color w:val="4A4B0C"/>
            </w:rPr>
            <w:instrText xml:space="preserve"> TOC \o "1-3" \h \z \u </w:instrText>
          </w:r>
          <w:r w:rsidRPr="00CC0BA6">
            <w:rPr>
              <w:color w:val="4A4B0C"/>
            </w:rPr>
            <w:fldChar w:fldCharType="separate"/>
          </w:r>
          <w:hyperlink w:anchor="_Toc329954127" w:history="1">
            <w:r w:rsidR="00355BC6" w:rsidRPr="00AA02D3">
              <w:rPr>
                <w:rStyle w:val="Hyperlink"/>
                <w:noProof/>
              </w:rPr>
              <w:t>Executive Summary</w:t>
            </w:r>
            <w:r w:rsidR="00355BC6">
              <w:rPr>
                <w:noProof/>
                <w:webHidden/>
              </w:rPr>
              <w:tab/>
            </w:r>
            <w:r w:rsidR="00355BC6">
              <w:rPr>
                <w:noProof/>
                <w:webHidden/>
              </w:rPr>
              <w:fldChar w:fldCharType="begin"/>
            </w:r>
            <w:r w:rsidR="00355BC6">
              <w:rPr>
                <w:noProof/>
                <w:webHidden/>
              </w:rPr>
              <w:instrText xml:space="preserve"> PAGEREF _Toc329954127 \h </w:instrText>
            </w:r>
            <w:r w:rsidR="00355BC6">
              <w:rPr>
                <w:noProof/>
                <w:webHidden/>
              </w:rPr>
            </w:r>
            <w:r w:rsidR="00355BC6">
              <w:rPr>
                <w:noProof/>
                <w:webHidden/>
              </w:rPr>
              <w:fldChar w:fldCharType="separate"/>
            </w:r>
            <w:r w:rsidR="00707511">
              <w:rPr>
                <w:noProof/>
                <w:webHidden/>
              </w:rPr>
              <w:t>2</w:t>
            </w:r>
            <w:r w:rsidR="00355BC6">
              <w:rPr>
                <w:noProof/>
                <w:webHidden/>
              </w:rPr>
              <w:fldChar w:fldCharType="end"/>
            </w:r>
          </w:hyperlink>
        </w:p>
        <w:p w:rsidR="00355BC6" w:rsidRDefault="00355BC6">
          <w:pPr>
            <w:pStyle w:val="TOC1"/>
            <w:tabs>
              <w:tab w:val="right" w:leader="dot" w:pos="9350"/>
            </w:tabs>
            <w:rPr>
              <w:rFonts w:eastAsiaTheme="minorEastAsia"/>
              <w:b w:val="0"/>
              <w:noProof/>
              <w:sz w:val="22"/>
              <w:szCs w:val="22"/>
            </w:rPr>
          </w:pPr>
          <w:hyperlink w:anchor="_Toc329954128" w:history="1">
            <w:r w:rsidRPr="00AA02D3">
              <w:rPr>
                <w:rStyle w:val="Hyperlink"/>
                <w:noProof/>
              </w:rPr>
              <w:t>Scope and Purpose</w:t>
            </w:r>
            <w:r>
              <w:rPr>
                <w:noProof/>
                <w:webHidden/>
              </w:rPr>
              <w:tab/>
            </w:r>
            <w:r>
              <w:rPr>
                <w:noProof/>
                <w:webHidden/>
              </w:rPr>
              <w:fldChar w:fldCharType="begin"/>
            </w:r>
            <w:r>
              <w:rPr>
                <w:noProof/>
                <w:webHidden/>
              </w:rPr>
              <w:instrText xml:space="preserve"> PAGEREF _Toc329954128 \h </w:instrText>
            </w:r>
            <w:r>
              <w:rPr>
                <w:noProof/>
                <w:webHidden/>
              </w:rPr>
            </w:r>
            <w:r>
              <w:rPr>
                <w:noProof/>
                <w:webHidden/>
              </w:rPr>
              <w:fldChar w:fldCharType="separate"/>
            </w:r>
            <w:r w:rsidR="00707511">
              <w:rPr>
                <w:noProof/>
                <w:webHidden/>
              </w:rPr>
              <w:t>4</w:t>
            </w:r>
            <w:r>
              <w:rPr>
                <w:noProof/>
                <w:webHidden/>
              </w:rPr>
              <w:fldChar w:fldCharType="end"/>
            </w:r>
          </w:hyperlink>
        </w:p>
        <w:p w:rsidR="00355BC6" w:rsidRDefault="00355BC6">
          <w:pPr>
            <w:pStyle w:val="TOC1"/>
            <w:tabs>
              <w:tab w:val="right" w:leader="dot" w:pos="9350"/>
            </w:tabs>
            <w:rPr>
              <w:rFonts w:eastAsiaTheme="minorEastAsia"/>
              <w:b w:val="0"/>
              <w:noProof/>
              <w:sz w:val="22"/>
              <w:szCs w:val="22"/>
            </w:rPr>
          </w:pPr>
          <w:hyperlink w:anchor="_Toc329954129" w:history="1">
            <w:r w:rsidRPr="00AA02D3">
              <w:rPr>
                <w:rStyle w:val="Hyperlink"/>
                <w:noProof/>
              </w:rPr>
              <w:t>Methodology</w:t>
            </w:r>
            <w:r>
              <w:rPr>
                <w:noProof/>
                <w:webHidden/>
              </w:rPr>
              <w:tab/>
            </w:r>
            <w:r>
              <w:rPr>
                <w:noProof/>
                <w:webHidden/>
              </w:rPr>
              <w:fldChar w:fldCharType="begin"/>
            </w:r>
            <w:r>
              <w:rPr>
                <w:noProof/>
                <w:webHidden/>
              </w:rPr>
              <w:instrText xml:space="preserve"> PAGEREF _Toc329954129 \h </w:instrText>
            </w:r>
            <w:r>
              <w:rPr>
                <w:noProof/>
                <w:webHidden/>
              </w:rPr>
            </w:r>
            <w:r>
              <w:rPr>
                <w:noProof/>
                <w:webHidden/>
              </w:rPr>
              <w:fldChar w:fldCharType="separate"/>
            </w:r>
            <w:r w:rsidR="00707511">
              <w:rPr>
                <w:noProof/>
                <w:webHidden/>
              </w:rPr>
              <w:t>4</w:t>
            </w:r>
            <w:r>
              <w:rPr>
                <w:noProof/>
                <w:webHidden/>
              </w:rPr>
              <w:fldChar w:fldCharType="end"/>
            </w:r>
          </w:hyperlink>
        </w:p>
        <w:p w:rsidR="00355BC6" w:rsidRDefault="00355BC6">
          <w:pPr>
            <w:pStyle w:val="TOC1"/>
            <w:tabs>
              <w:tab w:val="right" w:leader="dot" w:pos="9350"/>
            </w:tabs>
            <w:rPr>
              <w:rFonts w:eastAsiaTheme="minorEastAsia"/>
              <w:b w:val="0"/>
              <w:noProof/>
              <w:sz w:val="22"/>
              <w:szCs w:val="22"/>
            </w:rPr>
          </w:pPr>
          <w:hyperlink w:anchor="_Toc329954130" w:history="1">
            <w:r w:rsidRPr="00AA02D3">
              <w:rPr>
                <w:rStyle w:val="Hyperlink"/>
                <w:noProof/>
              </w:rPr>
              <w:t>Research</w:t>
            </w:r>
            <w:r>
              <w:rPr>
                <w:noProof/>
                <w:webHidden/>
              </w:rPr>
              <w:tab/>
            </w:r>
            <w:r>
              <w:rPr>
                <w:noProof/>
                <w:webHidden/>
              </w:rPr>
              <w:fldChar w:fldCharType="begin"/>
            </w:r>
            <w:r>
              <w:rPr>
                <w:noProof/>
                <w:webHidden/>
              </w:rPr>
              <w:instrText xml:space="preserve"> PAGEREF _Toc329954130 \h </w:instrText>
            </w:r>
            <w:r>
              <w:rPr>
                <w:noProof/>
                <w:webHidden/>
              </w:rPr>
            </w:r>
            <w:r>
              <w:rPr>
                <w:noProof/>
                <w:webHidden/>
              </w:rPr>
              <w:fldChar w:fldCharType="separate"/>
            </w:r>
            <w:r w:rsidR="00707511">
              <w:rPr>
                <w:noProof/>
                <w:webHidden/>
              </w:rPr>
              <w:t>5</w:t>
            </w:r>
            <w:r>
              <w:rPr>
                <w:noProof/>
                <w:webHidden/>
              </w:rPr>
              <w:fldChar w:fldCharType="end"/>
            </w:r>
          </w:hyperlink>
        </w:p>
        <w:p w:rsidR="00355BC6" w:rsidRDefault="00355BC6">
          <w:pPr>
            <w:pStyle w:val="TOC1"/>
            <w:tabs>
              <w:tab w:val="right" w:leader="dot" w:pos="9350"/>
            </w:tabs>
            <w:rPr>
              <w:rFonts w:eastAsiaTheme="minorEastAsia"/>
              <w:b w:val="0"/>
              <w:noProof/>
              <w:sz w:val="22"/>
              <w:szCs w:val="22"/>
            </w:rPr>
          </w:pPr>
          <w:hyperlink w:anchor="_Toc329954131" w:history="1">
            <w:r w:rsidRPr="00AA02D3">
              <w:rPr>
                <w:rStyle w:val="Hyperlink"/>
                <w:noProof/>
              </w:rPr>
              <w:t>County Housing Market Analysis</w:t>
            </w:r>
            <w:r>
              <w:rPr>
                <w:noProof/>
                <w:webHidden/>
              </w:rPr>
              <w:tab/>
            </w:r>
            <w:r>
              <w:rPr>
                <w:noProof/>
                <w:webHidden/>
              </w:rPr>
              <w:fldChar w:fldCharType="begin"/>
            </w:r>
            <w:r>
              <w:rPr>
                <w:noProof/>
                <w:webHidden/>
              </w:rPr>
              <w:instrText xml:space="preserve"> PAGEREF _Toc329954131 \h </w:instrText>
            </w:r>
            <w:r>
              <w:rPr>
                <w:noProof/>
                <w:webHidden/>
              </w:rPr>
            </w:r>
            <w:r>
              <w:rPr>
                <w:noProof/>
                <w:webHidden/>
              </w:rPr>
              <w:fldChar w:fldCharType="separate"/>
            </w:r>
            <w:r w:rsidR="00707511">
              <w:rPr>
                <w:noProof/>
                <w:webHidden/>
              </w:rPr>
              <w:t>5</w:t>
            </w:r>
            <w:r>
              <w:rPr>
                <w:noProof/>
                <w:webHidden/>
              </w:rPr>
              <w:fldChar w:fldCharType="end"/>
            </w:r>
          </w:hyperlink>
        </w:p>
        <w:p w:rsidR="00355BC6" w:rsidRDefault="00355BC6">
          <w:pPr>
            <w:pStyle w:val="TOC2"/>
            <w:tabs>
              <w:tab w:val="right" w:leader="dot" w:pos="9350"/>
            </w:tabs>
            <w:rPr>
              <w:rFonts w:eastAsiaTheme="minorEastAsia"/>
              <w:b w:val="0"/>
              <w:noProof/>
            </w:rPr>
          </w:pPr>
          <w:hyperlink w:anchor="_Toc329954132" w:history="1">
            <w:r w:rsidRPr="00AA02D3">
              <w:rPr>
                <w:rStyle w:val="Hyperlink"/>
                <w:noProof/>
              </w:rPr>
              <w:t>Madison County</w:t>
            </w:r>
            <w:r>
              <w:rPr>
                <w:noProof/>
                <w:webHidden/>
              </w:rPr>
              <w:tab/>
            </w:r>
            <w:r>
              <w:rPr>
                <w:noProof/>
                <w:webHidden/>
              </w:rPr>
              <w:fldChar w:fldCharType="begin"/>
            </w:r>
            <w:r>
              <w:rPr>
                <w:noProof/>
                <w:webHidden/>
              </w:rPr>
              <w:instrText xml:space="preserve"> PAGEREF _Toc329954132 \h </w:instrText>
            </w:r>
            <w:r>
              <w:rPr>
                <w:noProof/>
                <w:webHidden/>
              </w:rPr>
            </w:r>
            <w:r>
              <w:rPr>
                <w:noProof/>
                <w:webHidden/>
              </w:rPr>
              <w:fldChar w:fldCharType="separate"/>
            </w:r>
            <w:r w:rsidR="00707511">
              <w:rPr>
                <w:noProof/>
                <w:webHidden/>
              </w:rPr>
              <w:t>5</w:t>
            </w:r>
            <w:r>
              <w:rPr>
                <w:noProof/>
                <w:webHidden/>
              </w:rPr>
              <w:fldChar w:fldCharType="end"/>
            </w:r>
          </w:hyperlink>
        </w:p>
        <w:p w:rsidR="00355BC6" w:rsidRDefault="00355BC6">
          <w:pPr>
            <w:pStyle w:val="TOC2"/>
            <w:tabs>
              <w:tab w:val="right" w:leader="dot" w:pos="9350"/>
            </w:tabs>
            <w:rPr>
              <w:rFonts w:eastAsiaTheme="minorEastAsia"/>
              <w:b w:val="0"/>
              <w:noProof/>
            </w:rPr>
          </w:pPr>
          <w:hyperlink w:anchor="_Toc329954133" w:history="1">
            <w:r w:rsidRPr="00AA02D3">
              <w:rPr>
                <w:rStyle w:val="Hyperlink"/>
                <w:noProof/>
              </w:rPr>
              <w:t>Fremont County</w:t>
            </w:r>
            <w:r>
              <w:rPr>
                <w:noProof/>
                <w:webHidden/>
              </w:rPr>
              <w:tab/>
            </w:r>
            <w:r>
              <w:rPr>
                <w:noProof/>
                <w:webHidden/>
              </w:rPr>
              <w:fldChar w:fldCharType="begin"/>
            </w:r>
            <w:r>
              <w:rPr>
                <w:noProof/>
                <w:webHidden/>
              </w:rPr>
              <w:instrText xml:space="preserve"> PAGEREF _Toc329954133 \h </w:instrText>
            </w:r>
            <w:r>
              <w:rPr>
                <w:noProof/>
                <w:webHidden/>
              </w:rPr>
            </w:r>
            <w:r>
              <w:rPr>
                <w:noProof/>
                <w:webHidden/>
              </w:rPr>
              <w:fldChar w:fldCharType="separate"/>
            </w:r>
            <w:r w:rsidR="00707511">
              <w:rPr>
                <w:noProof/>
                <w:webHidden/>
              </w:rPr>
              <w:t>10</w:t>
            </w:r>
            <w:r>
              <w:rPr>
                <w:noProof/>
                <w:webHidden/>
              </w:rPr>
              <w:fldChar w:fldCharType="end"/>
            </w:r>
          </w:hyperlink>
        </w:p>
        <w:p w:rsidR="00355BC6" w:rsidRDefault="00355BC6">
          <w:pPr>
            <w:pStyle w:val="TOC2"/>
            <w:tabs>
              <w:tab w:val="right" w:leader="dot" w:pos="9350"/>
            </w:tabs>
            <w:rPr>
              <w:rFonts w:eastAsiaTheme="minorEastAsia"/>
              <w:b w:val="0"/>
              <w:noProof/>
            </w:rPr>
          </w:pPr>
          <w:hyperlink w:anchor="_Toc329954134" w:history="1">
            <w:r w:rsidRPr="00AA02D3">
              <w:rPr>
                <w:rStyle w:val="Hyperlink"/>
                <w:noProof/>
              </w:rPr>
              <w:t>Teton County, Idaho</w:t>
            </w:r>
            <w:r>
              <w:rPr>
                <w:noProof/>
                <w:webHidden/>
              </w:rPr>
              <w:tab/>
            </w:r>
            <w:r>
              <w:rPr>
                <w:noProof/>
                <w:webHidden/>
              </w:rPr>
              <w:fldChar w:fldCharType="begin"/>
            </w:r>
            <w:r>
              <w:rPr>
                <w:noProof/>
                <w:webHidden/>
              </w:rPr>
              <w:instrText xml:space="preserve"> PAGEREF _Toc329954134 \h </w:instrText>
            </w:r>
            <w:r>
              <w:rPr>
                <w:noProof/>
                <w:webHidden/>
              </w:rPr>
            </w:r>
            <w:r>
              <w:rPr>
                <w:noProof/>
                <w:webHidden/>
              </w:rPr>
              <w:fldChar w:fldCharType="separate"/>
            </w:r>
            <w:r w:rsidR="00707511">
              <w:rPr>
                <w:noProof/>
                <w:webHidden/>
              </w:rPr>
              <w:t>13</w:t>
            </w:r>
            <w:r>
              <w:rPr>
                <w:noProof/>
                <w:webHidden/>
              </w:rPr>
              <w:fldChar w:fldCharType="end"/>
            </w:r>
          </w:hyperlink>
        </w:p>
        <w:p w:rsidR="00355BC6" w:rsidRDefault="00355BC6">
          <w:pPr>
            <w:pStyle w:val="TOC2"/>
            <w:tabs>
              <w:tab w:val="right" w:leader="dot" w:pos="9350"/>
            </w:tabs>
            <w:rPr>
              <w:rFonts w:eastAsiaTheme="minorEastAsia"/>
              <w:b w:val="0"/>
              <w:noProof/>
            </w:rPr>
          </w:pPr>
          <w:hyperlink w:anchor="_Toc329954135" w:history="1">
            <w:r w:rsidRPr="00AA02D3">
              <w:rPr>
                <w:rStyle w:val="Hyperlink"/>
                <w:noProof/>
              </w:rPr>
              <w:t>Teton County, Wyoming</w:t>
            </w:r>
            <w:r>
              <w:rPr>
                <w:noProof/>
                <w:webHidden/>
              </w:rPr>
              <w:tab/>
            </w:r>
            <w:r>
              <w:rPr>
                <w:noProof/>
                <w:webHidden/>
              </w:rPr>
              <w:fldChar w:fldCharType="begin"/>
            </w:r>
            <w:r>
              <w:rPr>
                <w:noProof/>
                <w:webHidden/>
              </w:rPr>
              <w:instrText xml:space="preserve"> PAGEREF _Toc329954135 \h </w:instrText>
            </w:r>
            <w:r>
              <w:rPr>
                <w:noProof/>
                <w:webHidden/>
              </w:rPr>
            </w:r>
            <w:r>
              <w:rPr>
                <w:noProof/>
                <w:webHidden/>
              </w:rPr>
              <w:fldChar w:fldCharType="separate"/>
            </w:r>
            <w:r w:rsidR="00707511">
              <w:rPr>
                <w:noProof/>
                <w:webHidden/>
              </w:rPr>
              <w:t>15</w:t>
            </w:r>
            <w:r>
              <w:rPr>
                <w:noProof/>
                <w:webHidden/>
              </w:rPr>
              <w:fldChar w:fldCharType="end"/>
            </w:r>
          </w:hyperlink>
        </w:p>
        <w:p w:rsidR="00355BC6" w:rsidRDefault="00355BC6">
          <w:pPr>
            <w:pStyle w:val="TOC1"/>
            <w:tabs>
              <w:tab w:val="right" w:leader="dot" w:pos="9350"/>
            </w:tabs>
            <w:rPr>
              <w:rFonts w:eastAsiaTheme="minorEastAsia"/>
              <w:b w:val="0"/>
              <w:noProof/>
              <w:sz w:val="22"/>
              <w:szCs w:val="22"/>
            </w:rPr>
          </w:pPr>
          <w:hyperlink w:anchor="_Toc329954136" w:history="1">
            <w:r w:rsidRPr="00AA02D3">
              <w:rPr>
                <w:rStyle w:val="Hyperlink"/>
                <w:noProof/>
              </w:rPr>
              <w:t>City Housing Market Analysis</w:t>
            </w:r>
            <w:r>
              <w:rPr>
                <w:noProof/>
                <w:webHidden/>
              </w:rPr>
              <w:tab/>
            </w:r>
            <w:r>
              <w:rPr>
                <w:noProof/>
                <w:webHidden/>
              </w:rPr>
              <w:fldChar w:fldCharType="begin"/>
            </w:r>
            <w:r>
              <w:rPr>
                <w:noProof/>
                <w:webHidden/>
              </w:rPr>
              <w:instrText xml:space="preserve"> PAGEREF _Toc329954136 \h </w:instrText>
            </w:r>
            <w:r>
              <w:rPr>
                <w:noProof/>
                <w:webHidden/>
              </w:rPr>
            </w:r>
            <w:r>
              <w:rPr>
                <w:noProof/>
                <w:webHidden/>
              </w:rPr>
              <w:fldChar w:fldCharType="separate"/>
            </w:r>
            <w:r w:rsidR="00707511">
              <w:rPr>
                <w:noProof/>
                <w:webHidden/>
              </w:rPr>
              <w:t>18</w:t>
            </w:r>
            <w:r>
              <w:rPr>
                <w:noProof/>
                <w:webHidden/>
              </w:rPr>
              <w:fldChar w:fldCharType="end"/>
            </w:r>
          </w:hyperlink>
        </w:p>
        <w:p w:rsidR="00355BC6" w:rsidRDefault="00355BC6">
          <w:pPr>
            <w:pStyle w:val="TOC2"/>
            <w:tabs>
              <w:tab w:val="right" w:leader="dot" w:pos="9350"/>
            </w:tabs>
            <w:rPr>
              <w:rFonts w:eastAsiaTheme="minorEastAsia"/>
              <w:b w:val="0"/>
              <w:noProof/>
            </w:rPr>
          </w:pPr>
          <w:hyperlink w:anchor="_Toc329954137" w:history="1">
            <w:r w:rsidRPr="00AA02D3">
              <w:rPr>
                <w:rStyle w:val="Hyperlink"/>
                <w:noProof/>
              </w:rPr>
              <w:t>Rexburg, Idaho</w:t>
            </w:r>
            <w:r>
              <w:rPr>
                <w:noProof/>
                <w:webHidden/>
              </w:rPr>
              <w:tab/>
            </w:r>
            <w:r>
              <w:rPr>
                <w:noProof/>
                <w:webHidden/>
              </w:rPr>
              <w:fldChar w:fldCharType="begin"/>
            </w:r>
            <w:r>
              <w:rPr>
                <w:noProof/>
                <w:webHidden/>
              </w:rPr>
              <w:instrText xml:space="preserve"> PAGEREF _Toc329954137 \h </w:instrText>
            </w:r>
            <w:r>
              <w:rPr>
                <w:noProof/>
                <w:webHidden/>
              </w:rPr>
            </w:r>
            <w:r>
              <w:rPr>
                <w:noProof/>
                <w:webHidden/>
              </w:rPr>
              <w:fldChar w:fldCharType="separate"/>
            </w:r>
            <w:r w:rsidR="00707511">
              <w:rPr>
                <w:noProof/>
                <w:webHidden/>
              </w:rPr>
              <w:t>18</w:t>
            </w:r>
            <w:r>
              <w:rPr>
                <w:noProof/>
                <w:webHidden/>
              </w:rPr>
              <w:fldChar w:fldCharType="end"/>
            </w:r>
          </w:hyperlink>
        </w:p>
        <w:p w:rsidR="00355BC6" w:rsidRDefault="00355BC6">
          <w:pPr>
            <w:pStyle w:val="TOC2"/>
            <w:tabs>
              <w:tab w:val="right" w:leader="dot" w:pos="9350"/>
            </w:tabs>
            <w:rPr>
              <w:rFonts w:eastAsiaTheme="minorEastAsia"/>
              <w:b w:val="0"/>
              <w:noProof/>
            </w:rPr>
          </w:pPr>
          <w:hyperlink w:anchor="_Toc329954138" w:history="1">
            <w:r w:rsidRPr="00AA02D3">
              <w:rPr>
                <w:rStyle w:val="Hyperlink"/>
                <w:noProof/>
              </w:rPr>
              <w:t>Ashton, Idaho</w:t>
            </w:r>
            <w:r>
              <w:rPr>
                <w:noProof/>
                <w:webHidden/>
              </w:rPr>
              <w:tab/>
            </w:r>
            <w:r>
              <w:rPr>
                <w:noProof/>
                <w:webHidden/>
              </w:rPr>
              <w:fldChar w:fldCharType="begin"/>
            </w:r>
            <w:r>
              <w:rPr>
                <w:noProof/>
                <w:webHidden/>
              </w:rPr>
              <w:instrText xml:space="preserve"> PAGEREF _Toc329954138 \h </w:instrText>
            </w:r>
            <w:r>
              <w:rPr>
                <w:noProof/>
                <w:webHidden/>
              </w:rPr>
            </w:r>
            <w:r>
              <w:rPr>
                <w:noProof/>
                <w:webHidden/>
              </w:rPr>
              <w:fldChar w:fldCharType="separate"/>
            </w:r>
            <w:r w:rsidR="00707511">
              <w:rPr>
                <w:noProof/>
                <w:webHidden/>
              </w:rPr>
              <w:t>23</w:t>
            </w:r>
            <w:r>
              <w:rPr>
                <w:noProof/>
                <w:webHidden/>
              </w:rPr>
              <w:fldChar w:fldCharType="end"/>
            </w:r>
          </w:hyperlink>
        </w:p>
        <w:p w:rsidR="00355BC6" w:rsidRDefault="00355BC6">
          <w:pPr>
            <w:pStyle w:val="TOC2"/>
            <w:tabs>
              <w:tab w:val="right" w:leader="dot" w:pos="9350"/>
            </w:tabs>
            <w:rPr>
              <w:rFonts w:eastAsiaTheme="minorEastAsia"/>
              <w:b w:val="0"/>
              <w:noProof/>
            </w:rPr>
          </w:pPr>
          <w:hyperlink w:anchor="_Toc329954139" w:history="1">
            <w:r w:rsidRPr="00AA02D3">
              <w:rPr>
                <w:rStyle w:val="Hyperlink"/>
                <w:noProof/>
              </w:rPr>
              <w:t>Island Park, Idaho</w:t>
            </w:r>
            <w:r>
              <w:rPr>
                <w:noProof/>
                <w:webHidden/>
              </w:rPr>
              <w:tab/>
            </w:r>
            <w:r>
              <w:rPr>
                <w:noProof/>
                <w:webHidden/>
              </w:rPr>
              <w:fldChar w:fldCharType="begin"/>
            </w:r>
            <w:r>
              <w:rPr>
                <w:noProof/>
                <w:webHidden/>
              </w:rPr>
              <w:instrText xml:space="preserve"> PAGEREF _Toc329954139 \h </w:instrText>
            </w:r>
            <w:r>
              <w:rPr>
                <w:noProof/>
                <w:webHidden/>
              </w:rPr>
            </w:r>
            <w:r>
              <w:rPr>
                <w:noProof/>
                <w:webHidden/>
              </w:rPr>
              <w:fldChar w:fldCharType="separate"/>
            </w:r>
            <w:r w:rsidR="00707511">
              <w:rPr>
                <w:noProof/>
                <w:webHidden/>
              </w:rPr>
              <w:t>26</w:t>
            </w:r>
            <w:r>
              <w:rPr>
                <w:noProof/>
                <w:webHidden/>
              </w:rPr>
              <w:fldChar w:fldCharType="end"/>
            </w:r>
          </w:hyperlink>
        </w:p>
        <w:p w:rsidR="00355BC6" w:rsidRDefault="00355BC6">
          <w:pPr>
            <w:pStyle w:val="TOC2"/>
            <w:tabs>
              <w:tab w:val="right" w:leader="dot" w:pos="9350"/>
            </w:tabs>
            <w:rPr>
              <w:rFonts w:eastAsiaTheme="minorEastAsia"/>
              <w:b w:val="0"/>
              <w:noProof/>
            </w:rPr>
          </w:pPr>
          <w:hyperlink w:anchor="_Toc329954140" w:history="1">
            <w:r w:rsidRPr="00AA02D3">
              <w:rPr>
                <w:rStyle w:val="Hyperlink"/>
                <w:noProof/>
              </w:rPr>
              <w:t>Driggs, Idaho</w:t>
            </w:r>
            <w:r>
              <w:rPr>
                <w:noProof/>
                <w:webHidden/>
              </w:rPr>
              <w:tab/>
            </w:r>
            <w:r>
              <w:rPr>
                <w:noProof/>
                <w:webHidden/>
              </w:rPr>
              <w:fldChar w:fldCharType="begin"/>
            </w:r>
            <w:r>
              <w:rPr>
                <w:noProof/>
                <w:webHidden/>
              </w:rPr>
              <w:instrText xml:space="preserve"> PAGEREF _Toc329954140 \h </w:instrText>
            </w:r>
            <w:r>
              <w:rPr>
                <w:noProof/>
                <w:webHidden/>
              </w:rPr>
            </w:r>
            <w:r>
              <w:rPr>
                <w:noProof/>
                <w:webHidden/>
              </w:rPr>
              <w:fldChar w:fldCharType="separate"/>
            </w:r>
            <w:r w:rsidR="00707511">
              <w:rPr>
                <w:noProof/>
                <w:webHidden/>
              </w:rPr>
              <w:t>29</w:t>
            </w:r>
            <w:r>
              <w:rPr>
                <w:noProof/>
                <w:webHidden/>
              </w:rPr>
              <w:fldChar w:fldCharType="end"/>
            </w:r>
          </w:hyperlink>
        </w:p>
        <w:p w:rsidR="00355BC6" w:rsidRDefault="00355BC6">
          <w:pPr>
            <w:pStyle w:val="TOC2"/>
            <w:tabs>
              <w:tab w:val="right" w:leader="dot" w:pos="9350"/>
            </w:tabs>
            <w:rPr>
              <w:rFonts w:eastAsiaTheme="minorEastAsia"/>
              <w:b w:val="0"/>
              <w:noProof/>
            </w:rPr>
          </w:pPr>
          <w:hyperlink w:anchor="_Toc329954141" w:history="1">
            <w:r w:rsidRPr="00AA02D3">
              <w:rPr>
                <w:rStyle w:val="Hyperlink"/>
                <w:noProof/>
              </w:rPr>
              <w:t>Victor, Idaho</w:t>
            </w:r>
            <w:r>
              <w:rPr>
                <w:noProof/>
                <w:webHidden/>
              </w:rPr>
              <w:tab/>
            </w:r>
            <w:r>
              <w:rPr>
                <w:noProof/>
                <w:webHidden/>
              </w:rPr>
              <w:fldChar w:fldCharType="begin"/>
            </w:r>
            <w:r>
              <w:rPr>
                <w:noProof/>
                <w:webHidden/>
              </w:rPr>
              <w:instrText xml:space="preserve"> PAGEREF _Toc329954141 \h </w:instrText>
            </w:r>
            <w:r>
              <w:rPr>
                <w:noProof/>
                <w:webHidden/>
              </w:rPr>
            </w:r>
            <w:r>
              <w:rPr>
                <w:noProof/>
                <w:webHidden/>
              </w:rPr>
              <w:fldChar w:fldCharType="separate"/>
            </w:r>
            <w:r w:rsidR="00707511">
              <w:rPr>
                <w:noProof/>
                <w:webHidden/>
              </w:rPr>
              <w:t>31</w:t>
            </w:r>
            <w:r>
              <w:rPr>
                <w:noProof/>
                <w:webHidden/>
              </w:rPr>
              <w:fldChar w:fldCharType="end"/>
            </w:r>
          </w:hyperlink>
        </w:p>
        <w:p w:rsidR="00355BC6" w:rsidRDefault="00355BC6">
          <w:pPr>
            <w:pStyle w:val="TOC2"/>
            <w:tabs>
              <w:tab w:val="right" w:leader="dot" w:pos="9350"/>
            </w:tabs>
            <w:rPr>
              <w:rFonts w:eastAsiaTheme="minorEastAsia"/>
              <w:b w:val="0"/>
              <w:noProof/>
            </w:rPr>
          </w:pPr>
          <w:hyperlink w:anchor="_Toc329954142" w:history="1">
            <w:r w:rsidRPr="00AA02D3">
              <w:rPr>
                <w:rStyle w:val="Hyperlink"/>
                <w:noProof/>
              </w:rPr>
              <w:t>Saint Anthony, Idaho</w:t>
            </w:r>
            <w:r>
              <w:rPr>
                <w:noProof/>
                <w:webHidden/>
              </w:rPr>
              <w:tab/>
            </w:r>
            <w:r>
              <w:rPr>
                <w:noProof/>
                <w:webHidden/>
              </w:rPr>
              <w:fldChar w:fldCharType="begin"/>
            </w:r>
            <w:r>
              <w:rPr>
                <w:noProof/>
                <w:webHidden/>
              </w:rPr>
              <w:instrText xml:space="preserve"> PAGEREF _Toc329954142 \h </w:instrText>
            </w:r>
            <w:r>
              <w:rPr>
                <w:noProof/>
                <w:webHidden/>
              </w:rPr>
            </w:r>
            <w:r>
              <w:rPr>
                <w:noProof/>
                <w:webHidden/>
              </w:rPr>
              <w:fldChar w:fldCharType="separate"/>
            </w:r>
            <w:r w:rsidR="00707511">
              <w:rPr>
                <w:noProof/>
                <w:webHidden/>
              </w:rPr>
              <w:t>33</w:t>
            </w:r>
            <w:r>
              <w:rPr>
                <w:noProof/>
                <w:webHidden/>
              </w:rPr>
              <w:fldChar w:fldCharType="end"/>
            </w:r>
          </w:hyperlink>
        </w:p>
        <w:p w:rsidR="00355BC6" w:rsidRDefault="00355BC6">
          <w:pPr>
            <w:pStyle w:val="TOC1"/>
            <w:tabs>
              <w:tab w:val="right" w:leader="dot" w:pos="9350"/>
            </w:tabs>
            <w:rPr>
              <w:rFonts w:eastAsiaTheme="minorEastAsia"/>
              <w:b w:val="0"/>
              <w:noProof/>
              <w:sz w:val="22"/>
              <w:szCs w:val="22"/>
            </w:rPr>
          </w:pPr>
          <w:hyperlink w:anchor="_Toc329954143" w:history="1">
            <w:r w:rsidRPr="00AA02D3">
              <w:rPr>
                <w:rStyle w:val="Hyperlink"/>
                <w:noProof/>
              </w:rPr>
              <w:t>Case Studies</w:t>
            </w:r>
            <w:r>
              <w:rPr>
                <w:noProof/>
                <w:webHidden/>
              </w:rPr>
              <w:tab/>
            </w:r>
            <w:r>
              <w:rPr>
                <w:noProof/>
                <w:webHidden/>
              </w:rPr>
              <w:fldChar w:fldCharType="begin"/>
            </w:r>
            <w:r>
              <w:rPr>
                <w:noProof/>
                <w:webHidden/>
              </w:rPr>
              <w:instrText xml:space="preserve"> PAGEREF _Toc329954143 \h </w:instrText>
            </w:r>
            <w:r>
              <w:rPr>
                <w:noProof/>
                <w:webHidden/>
              </w:rPr>
            </w:r>
            <w:r>
              <w:rPr>
                <w:noProof/>
                <w:webHidden/>
              </w:rPr>
              <w:fldChar w:fldCharType="separate"/>
            </w:r>
            <w:r w:rsidR="00707511">
              <w:rPr>
                <w:noProof/>
                <w:webHidden/>
              </w:rPr>
              <w:t>35</w:t>
            </w:r>
            <w:r>
              <w:rPr>
                <w:noProof/>
                <w:webHidden/>
              </w:rPr>
              <w:fldChar w:fldCharType="end"/>
            </w:r>
          </w:hyperlink>
        </w:p>
        <w:p w:rsidR="00355BC6" w:rsidRDefault="00355BC6">
          <w:pPr>
            <w:pStyle w:val="TOC1"/>
            <w:tabs>
              <w:tab w:val="right" w:leader="dot" w:pos="9350"/>
            </w:tabs>
            <w:rPr>
              <w:rFonts w:eastAsiaTheme="minorEastAsia"/>
              <w:b w:val="0"/>
              <w:noProof/>
              <w:sz w:val="22"/>
              <w:szCs w:val="22"/>
            </w:rPr>
          </w:pPr>
          <w:hyperlink w:anchor="_Toc329954144" w:history="1">
            <w:r w:rsidRPr="00AA02D3">
              <w:rPr>
                <w:rStyle w:val="Hyperlink"/>
                <w:noProof/>
              </w:rPr>
              <w:t>County Comparison</w:t>
            </w:r>
            <w:r>
              <w:rPr>
                <w:noProof/>
                <w:webHidden/>
              </w:rPr>
              <w:tab/>
            </w:r>
            <w:r>
              <w:rPr>
                <w:noProof/>
                <w:webHidden/>
              </w:rPr>
              <w:fldChar w:fldCharType="begin"/>
            </w:r>
            <w:r>
              <w:rPr>
                <w:noProof/>
                <w:webHidden/>
              </w:rPr>
              <w:instrText xml:space="preserve"> PAGEREF _Toc329954144 \h </w:instrText>
            </w:r>
            <w:r>
              <w:rPr>
                <w:noProof/>
                <w:webHidden/>
              </w:rPr>
            </w:r>
            <w:r>
              <w:rPr>
                <w:noProof/>
                <w:webHidden/>
              </w:rPr>
              <w:fldChar w:fldCharType="separate"/>
            </w:r>
            <w:r w:rsidR="00707511">
              <w:rPr>
                <w:noProof/>
                <w:webHidden/>
              </w:rPr>
              <w:t>36</w:t>
            </w:r>
            <w:r>
              <w:rPr>
                <w:noProof/>
                <w:webHidden/>
              </w:rPr>
              <w:fldChar w:fldCharType="end"/>
            </w:r>
          </w:hyperlink>
        </w:p>
        <w:p w:rsidR="00355BC6" w:rsidRDefault="00355BC6">
          <w:pPr>
            <w:pStyle w:val="TOC1"/>
            <w:tabs>
              <w:tab w:val="right" w:leader="dot" w:pos="9350"/>
            </w:tabs>
            <w:rPr>
              <w:rFonts w:eastAsiaTheme="minorEastAsia"/>
              <w:b w:val="0"/>
              <w:noProof/>
              <w:sz w:val="22"/>
              <w:szCs w:val="22"/>
            </w:rPr>
          </w:pPr>
          <w:hyperlink w:anchor="_Toc329954145" w:history="1">
            <w:r w:rsidRPr="00AA02D3">
              <w:rPr>
                <w:rStyle w:val="Hyperlink"/>
                <w:noProof/>
              </w:rPr>
              <w:t>City Comparison</w:t>
            </w:r>
            <w:r>
              <w:rPr>
                <w:noProof/>
                <w:webHidden/>
              </w:rPr>
              <w:tab/>
            </w:r>
            <w:r>
              <w:rPr>
                <w:noProof/>
                <w:webHidden/>
              </w:rPr>
              <w:fldChar w:fldCharType="begin"/>
            </w:r>
            <w:r>
              <w:rPr>
                <w:noProof/>
                <w:webHidden/>
              </w:rPr>
              <w:instrText xml:space="preserve"> PAGEREF _Toc329954145 \h </w:instrText>
            </w:r>
            <w:r>
              <w:rPr>
                <w:noProof/>
                <w:webHidden/>
              </w:rPr>
            </w:r>
            <w:r>
              <w:rPr>
                <w:noProof/>
                <w:webHidden/>
              </w:rPr>
              <w:fldChar w:fldCharType="separate"/>
            </w:r>
            <w:r w:rsidR="00707511">
              <w:rPr>
                <w:noProof/>
                <w:webHidden/>
              </w:rPr>
              <w:t>38</w:t>
            </w:r>
            <w:r>
              <w:rPr>
                <w:noProof/>
                <w:webHidden/>
              </w:rPr>
              <w:fldChar w:fldCharType="end"/>
            </w:r>
          </w:hyperlink>
        </w:p>
        <w:p w:rsidR="00355BC6" w:rsidRDefault="00355BC6">
          <w:pPr>
            <w:pStyle w:val="TOC1"/>
            <w:tabs>
              <w:tab w:val="right" w:leader="dot" w:pos="9350"/>
            </w:tabs>
            <w:rPr>
              <w:rFonts w:eastAsiaTheme="minorEastAsia"/>
              <w:b w:val="0"/>
              <w:noProof/>
              <w:sz w:val="22"/>
              <w:szCs w:val="22"/>
            </w:rPr>
          </w:pPr>
          <w:hyperlink w:anchor="_Toc329954146" w:history="1">
            <w:r w:rsidRPr="00AA02D3">
              <w:rPr>
                <w:rStyle w:val="Hyperlink"/>
                <w:noProof/>
              </w:rPr>
              <w:t>Alternative Housing Options</w:t>
            </w:r>
            <w:r>
              <w:rPr>
                <w:noProof/>
                <w:webHidden/>
              </w:rPr>
              <w:tab/>
            </w:r>
            <w:r>
              <w:rPr>
                <w:noProof/>
                <w:webHidden/>
              </w:rPr>
              <w:fldChar w:fldCharType="begin"/>
            </w:r>
            <w:r>
              <w:rPr>
                <w:noProof/>
                <w:webHidden/>
              </w:rPr>
              <w:instrText xml:space="preserve"> PAGEREF _Toc329954146 \h </w:instrText>
            </w:r>
            <w:r>
              <w:rPr>
                <w:noProof/>
                <w:webHidden/>
              </w:rPr>
            </w:r>
            <w:r>
              <w:rPr>
                <w:noProof/>
                <w:webHidden/>
              </w:rPr>
              <w:fldChar w:fldCharType="separate"/>
            </w:r>
            <w:r w:rsidR="00707511">
              <w:rPr>
                <w:noProof/>
                <w:webHidden/>
              </w:rPr>
              <w:t>39</w:t>
            </w:r>
            <w:r>
              <w:rPr>
                <w:noProof/>
                <w:webHidden/>
              </w:rPr>
              <w:fldChar w:fldCharType="end"/>
            </w:r>
          </w:hyperlink>
        </w:p>
        <w:p w:rsidR="00355BC6" w:rsidRDefault="00355BC6">
          <w:pPr>
            <w:pStyle w:val="TOC1"/>
            <w:tabs>
              <w:tab w:val="right" w:leader="dot" w:pos="9350"/>
            </w:tabs>
            <w:rPr>
              <w:rFonts w:eastAsiaTheme="minorEastAsia"/>
              <w:b w:val="0"/>
              <w:noProof/>
              <w:sz w:val="22"/>
              <w:szCs w:val="22"/>
            </w:rPr>
          </w:pPr>
          <w:hyperlink w:anchor="_Toc329954147" w:history="1">
            <w:r w:rsidRPr="00AA02D3">
              <w:rPr>
                <w:rStyle w:val="Hyperlink"/>
                <w:noProof/>
              </w:rPr>
              <w:t>Recommendations</w:t>
            </w:r>
            <w:r>
              <w:rPr>
                <w:noProof/>
                <w:webHidden/>
              </w:rPr>
              <w:tab/>
            </w:r>
            <w:r>
              <w:rPr>
                <w:noProof/>
                <w:webHidden/>
              </w:rPr>
              <w:fldChar w:fldCharType="begin"/>
            </w:r>
            <w:r>
              <w:rPr>
                <w:noProof/>
                <w:webHidden/>
              </w:rPr>
              <w:instrText xml:space="preserve"> PAGEREF _Toc329954147 \h </w:instrText>
            </w:r>
            <w:r>
              <w:rPr>
                <w:noProof/>
                <w:webHidden/>
              </w:rPr>
            </w:r>
            <w:r>
              <w:rPr>
                <w:noProof/>
                <w:webHidden/>
              </w:rPr>
              <w:fldChar w:fldCharType="separate"/>
            </w:r>
            <w:r w:rsidR="00707511">
              <w:rPr>
                <w:noProof/>
                <w:webHidden/>
              </w:rPr>
              <w:t>40</w:t>
            </w:r>
            <w:r>
              <w:rPr>
                <w:noProof/>
                <w:webHidden/>
              </w:rPr>
              <w:fldChar w:fldCharType="end"/>
            </w:r>
          </w:hyperlink>
        </w:p>
        <w:p w:rsidR="00355BC6" w:rsidRDefault="00355BC6">
          <w:pPr>
            <w:pStyle w:val="TOC1"/>
            <w:tabs>
              <w:tab w:val="right" w:leader="dot" w:pos="9350"/>
            </w:tabs>
            <w:rPr>
              <w:rFonts w:eastAsiaTheme="minorEastAsia"/>
              <w:b w:val="0"/>
              <w:noProof/>
              <w:sz w:val="22"/>
              <w:szCs w:val="22"/>
            </w:rPr>
          </w:pPr>
          <w:hyperlink w:anchor="_Toc329954148" w:history="1">
            <w:r w:rsidRPr="00AA02D3">
              <w:rPr>
                <w:rStyle w:val="Hyperlink"/>
                <w:noProof/>
              </w:rPr>
              <w:t>Bibliography</w:t>
            </w:r>
            <w:r>
              <w:rPr>
                <w:noProof/>
                <w:webHidden/>
              </w:rPr>
              <w:tab/>
            </w:r>
            <w:r>
              <w:rPr>
                <w:noProof/>
                <w:webHidden/>
              </w:rPr>
              <w:fldChar w:fldCharType="begin"/>
            </w:r>
            <w:r>
              <w:rPr>
                <w:noProof/>
                <w:webHidden/>
              </w:rPr>
              <w:instrText xml:space="preserve"> PAGEREF _Toc329954148 \h </w:instrText>
            </w:r>
            <w:r>
              <w:rPr>
                <w:noProof/>
                <w:webHidden/>
              </w:rPr>
            </w:r>
            <w:r>
              <w:rPr>
                <w:noProof/>
                <w:webHidden/>
              </w:rPr>
              <w:fldChar w:fldCharType="separate"/>
            </w:r>
            <w:r w:rsidR="00707511">
              <w:rPr>
                <w:noProof/>
                <w:webHidden/>
              </w:rPr>
              <w:t>41</w:t>
            </w:r>
            <w:r>
              <w:rPr>
                <w:noProof/>
                <w:webHidden/>
              </w:rPr>
              <w:fldChar w:fldCharType="end"/>
            </w:r>
          </w:hyperlink>
        </w:p>
        <w:p w:rsidR="00147D6D" w:rsidRDefault="00CC0BA6">
          <w:r w:rsidRPr="00147D6D">
            <w:rPr>
              <w:color w:val="4A4B0C"/>
            </w:rPr>
            <w:fldChar w:fldCharType="end"/>
          </w:r>
        </w:p>
      </w:sdtContent>
    </w:sdt>
    <w:p w:rsidR="00904256" w:rsidRPr="00752B21" w:rsidRDefault="00904256" w:rsidP="00277F7A">
      <w:pPr>
        <w:rPr>
          <w:color w:val="4B4C0D"/>
        </w:rPr>
      </w:pPr>
    </w:p>
    <w:p w:rsidR="00904256" w:rsidRPr="00752B21" w:rsidRDefault="00904256" w:rsidP="00277F7A">
      <w:pPr>
        <w:rPr>
          <w:color w:val="4B4C0D"/>
        </w:rPr>
      </w:pPr>
    </w:p>
    <w:p w:rsidR="00904256" w:rsidRPr="00752B21" w:rsidRDefault="00904256" w:rsidP="00277F7A">
      <w:pPr>
        <w:rPr>
          <w:color w:val="4B4C0D"/>
        </w:rPr>
      </w:pPr>
    </w:p>
    <w:p w:rsidR="00904256" w:rsidRPr="00277F7A" w:rsidRDefault="00904256" w:rsidP="00277F7A"/>
    <w:p w:rsidR="00904256" w:rsidRPr="00277F7A" w:rsidRDefault="00904256" w:rsidP="00277F7A"/>
    <w:p w:rsidR="00904256" w:rsidRPr="00277F7A" w:rsidRDefault="00904256" w:rsidP="00277F7A"/>
    <w:p w:rsidR="00904256" w:rsidRPr="00277F7A" w:rsidRDefault="00904256" w:rsidP="00277F7A"/>
    <w:p w:rsidR="00904256" w:rsidRPr="00277F7A" w:rsidRDefault="00904256" w:rsidP="00277F7A"/>
    <w:p w:rsidR="00904256" w:rsidRPr="00277F7A" w:rsidRDefault="00904256" w:rsidP="00277F7A"/>
    <w:p w:rsidR="00DD3AA9" w:rsidRDefault="00445CFA" w:rsidP="00904256">
      <w:pPr>
        <w:pStyle w:val="Heading1"/>
        <w:spacing w:line="240" w:lineRule="auto"/>
        <w:contextualSpacing/>
        <w:rPr>
          <w:color w:val="4E5612"/>
          <w:szCs w:val="52"/>
        </w:rPr>
      </w:pPr>
      <w:bookmarkStart w:id="1" w:name="_Toc329954128"/>
      <w:r w:rsidRPr="00764386">
        <w:rPr>
          <w:color w:val="4E5612"/>
          <w:szCs w:val="52"/>
        </w:rPr>
        <w:t>Scope and Purpose</w:t>
      </w:r>
      <w:bookmarkEnd w:id="1"/>
    </w:p>
    <w:p w:rsidR="00904256" w:rsidRDefault="001733CC" w:rsidP="00904256">
      <w:pPr>
        <w:spacing w:line="240" w:lineRule="auto"/>
        <w:contextualSpacing/>
      </w:pPr>
      <w:r>
        <w:t xml:space="preserve">In 2011, Fremont County </w:t>
      </w:r>
      <w:r w:rsidR="00DA5328">
        <w:t xml:space="preserve">was </w:t>
      </w:r>
      <w:r w:rsidR="00DA5328" w:rsidRPr="00DA5328">
        <w:t>awarded</w:t>
      </w:r>
      <w:r w:rsidR="00DA5328">
        <w:t xml:space="preserve"> </w:t>
      </w:r>
      <w:r>
        <w:t xml:space="preserve">a $1.5 million grant from the United States Department of Housing and Urban Development. This grant is to help the development of the four county </w:t>
      </w:r>
      <w:proofErr w:type="gramStart"/>
      <w:r>
        <w:t>area</w:t>
      </w:r>
      <w:proofErr w:type="gramEnd"/>
      <w:r>
        <w:t xml:space="preserve"> in Eastern Idaho. These counties are: Fremont, Madison, Teton (Idaho), and Teton (Wyoming). Along with these counties, six cities </w:t>
      </w:r>
      <w:r w:rsidR="00904256">
        <w:t xml:space="preserve">are involved with the purpose of the grant. These cities are: Rexburg, St. Anthony, </w:t>
      </w:r>
      <w:proofErr w:type="spellStart"/>
      <w:r w:rsidR="00904256">
        <w:t>Driggs</w:t>
      </w:r>
      <w:proofErr w:type="spellEnd"/>
      <w:r w:rsidR="00904256">
        <w:t xml:space="preserve">, Victor, Ashton, and Island Park. The aforementioned counties and cities have different housing needs and restrictions. </w:t>
      </w:r>
    </w:p>
    <w:p w:rsidR="00904256" w:rsidRDefault="00904256" w:rsidP="00904256">
      <w:pPr>
        <w:pStyle w:val="Heading1"/>
        <w:spacing w:line="240" w:lineRule="auto"/>
        <w:contextualSpacing/>
        <w:rPr>
          <w:color w:val="4E5612"/>
          <w:szCs w:val="52"/>
        </w:rPr>
      </w:pPr>
      <w:bookmarkStart w:id="2" w:name="_Toc329954129"/>
      <w:r>
        <w:rPr>
          <w:color w:val="4E5612"/>
          <w:szCs w:val="52"/>
        </w:rPr>
        <w:t>Methodology</w:t>
      </w:r>
      <w:bookmarkEnd w:id="2"/>
    </w:p>
    <w:p w:rsidR="006B7189" w:rsidRDefault="00E92067" w:rsidP="005B3D08">
      <w:pPr>
        <w:spacing w:line="240" w:lineRule="auto"/>
        <w:contextualSpacing/>
      </w:pPr>
      <w:r>
        <w:t>I</w:t>
      </w:r>
      <w:r w:rsidR="00904256">
        <w:t>nformation was compiled</w:t>
      </w:r>
      <w:r>
        <w:t xml:space="preserve"> primarily</w:t>
      </w:r>
      <w:r w:rsidR="00904256">
        <w:t xml:space="preserve"> from </w:t>
      </w:r>
      <w:r>
        <w:t>i</w:t>
      </w:r>
      <w:r w:rsidR="00842E50">
        <w:t>nternet</w:t>
      </w:r>
      <w:r w:rsidR="00904256">
        <w:t xml:space="preserve"> sources. The majority of the data came from the 2010 Census Bureau.</w:t>
      </w:r>
      <w:r w:rsidR="00277F7A">
        <w:t xml:space="preserve"> The census records of each county and city were analyzed to see household income, home values, percent of income spent on housing, etc. </w:t>
      </w:r>
      <w:r w:rsidR="006B7189">
        <w:t xml:space="preserve">The information was downloaded from the sites and large amounts of data were exported to Microsoft Excel in order to analyze and compare large amounts of data with graphs and tables. </w:t>
      </w:r>
      <w:r w:rsidR="00842E50">
        <w:t xml:space="preserve">Other statistics were used from the Snake River Multiple Listing Service as well as real estate sites, </w:t>
      </w:r>
      <w:proofErr w:type="spellStart"/>
      <w:r w:rsidR="00842E50">
        <w:t>Zillow</w:t>
      </w:r>
      <w:proofErr w:type="spellEnd"/>
      <w:r w:rsidR="00842E50">
        <w:t xml:space="preserve"> and </w:t>
      </w:r>
      <w:proofErr w:type="spellStart"/>
      <w:r w:rsidR="00842E50">
        <w:t>Trulia</w:t>
      </w:r>
      <w:proofErr w:type="spellEnd"/>
      <w:r w:rsidR="00842E50">
        <w:t xml:space="preserve">. </w:t>
      </w:r>
    </w:p>
    <w:p w:rsidR="006B7189" w:rsidRDefault="006B7189" w:rsidP="005B3D08">
      <w:pPr>
        <w:spacing w:line="240" w:lineRule="auto"/>
        <w:contextualSpacing/>
      </w:pPr>
    </w:p>
    <w:p w:rsidR="000146C9" w:rsidRDefault="005B3D08" w:rsidP="005B3D08">
      <w:pPr>
        <w:spacing w:line="240" w:lineRule="auto"/>
        <w:contextualSpacing/>
      </w:pPr>
      <w:r w:rsidRPr="00957B04">
        <w:t xml:space="preserve">Research was done on 4 different counties and 6 different cities in Eastern Idaho. The counties that were researched are Madison County, Fremont County, Teton County (Idaho), and Teton County (Wyoming). Particular focus was placed on the cities of Rexburg, St. Anthony, Ashton, Island Park, </w:t>
      </w:r>
      <w:proofErr w:type="spellStart"/>
      <w:r w:rsidRPr="00957B04">
        <w:t>Driggs</w:t>
      </w:r>
      <w:proofErr w:type="spellEnd"/>
      <w:r w:rsidRPr="00957B04">
        <w:t xml:space="preserve">, and Victor. </w:t>
      </w:r>
    </w:p>
    <w:p w:rsidR="005B3D08" w:rsidRPr="00957B04" w:rsidRDefault="005B3D08" w:rsidP="005B3D08">
      <w:pPr>
        <w:spacing w:line="240" w:lineRule="auto"/>
        <w:contextualSpacing/>
      </w:pPr>
    </w:p>
    <w:p w:rsidR="005B3D08" w:rsidRPr="005B3D08" w:rsidRDefault="005B3D08" w:rsidP="005B3D08">
      <w:pPr>
        <w:spacing w:line="240" w:lineRule="auto"/>
        <w:contextualSpacing/>
      </w:pPr>
      <w:r w:rsidRPr="00957B04">
        <w:t xml:space="preserve">For each county and city, housing data was researched to find the current availability and affordability of housing. The different aspects that were researched for each county and city include: </w:t>
      </w:r>
      <w:r w:rsidRPr="005B3D08">
        <w:t>household incomes, home values, housing costs, and available housing. After the research was completed for each area, the information was analyzed to see how each county and city compared to each other and against national averages.</w:t>
      </w:r>
      <w:r w:rsidR="002D069C">
        <w:t xml:space="preserve"> </w:t>
      </w:r>
    </w:p>
    <w:p w:rsidR="002D069C" w:rsidRDefault="002D069C" w:rsidP="002D069C">
      <w:pPr>
        <w:spacing w:line="240" w:lineRule="auto"/>
        <w:contextualSpacing/>
      </w:pPr>
    </w:p>
    <w:p w:rsidR="002D069C" w:rsidRPr="005B3D08" w:rsidRDefault="002D069C" w:rsidP="002D069C">
      <w:pPr>
        <w:spacing w:line="240" w:lineRule="auto"/>
        <w:contextualSpacing/>
      </w:pPr>
      <w:r w:rsidRPr="005B3D08">
        <w:t xml:space="preserve">Each area was researched to find </w:t>
      </w:r>
      <w:r>
        <w:t xml:space="preserve">average commute times, </w:t>
      </w:r>
      <w:r w:rsidRPr="005B3D08">
        <w:t>household income vs. home values, monthly housing costs, and the percentage of income spent on housing. This research was done to show areas of disparity between housing supply and housing demand.</w:t>
      </w:r>
    </w:p>
    <w:p w:rsidR="005B3D08" w:rsidRPr="005B3D08" w:rsidRDefault="005B3D08" w:rsidP="005B3D08">
      <w:pPr>
        <w:spacing w:line="240" w:lineRule="auto"/>
        <w:contextualSpacing/>
      </w:pPr>
    </w:p>
    <w:p w:rsidR="002D069C" w:rsidRDefault="00E92067" w:rsidP="005B3D08">
      <w:pPr>
        <w:spacing w:line="240" w:lineRule="auto"/>
        <w:contextualSpacing/>
      </w:pPr>
      <w:r w:rsidRPr="005B3D08">
        <w:t>H</w:t>
      </w:r>
      <w:r w:rsidR="006B7189" w:rsidRPr="005B3D08">
        <w:t xml:space="preserve">ousing case studies </w:t>
      </w:r>
      <w:r w:rsidRPr="005B3D08">
        <w:t>w</w:t>
      </w:r>
      <w:r w:rsidR="006B7189" w:rsidRPr="005B3D08">
        <w:t xml:space="preserve">ere compiled </w:t>
      </w:r>
      <w:r w:rsidR="00CB669B" w:rsidRPr="005B3D08">
        <w:t>through</w:t>
      </w:r>
      <w:r w:rsidR="006B7189" w:rsidRPr="005B3D08">
        <w:t xml:space="preserve"> </w:t>
      </w:r>
      <w:r w:rsidR="00CB669B" w:rsidRPr="005B3D08">
        <w:t xml:space="preserve">random </w:t>
      </w:r>
      <w:r w:rsidR="006B7189" w:rsidRPr="005B3D08">
        <w:t>call</w:t>
      </w:r>
      <w:r w:rsidR="00CB669B" w:rsidRPr="005B3D08">
        <w:t>s to</w:t>
      </w:r>
      <w:r w:rsidR="006B7189" w:rsidRPr="005B3D08">
        <w:t xml:space="preserve"> small businesses</w:t>
      </w:r>
      <w:r w:rsidR="00091090">
        <w:t xml:space="preserve"> and individuals</w:t>
      </w:r>
      <w:r w:rsidR="006B7189" w:rsidRPr="005B3D08">
        <w:t xml:space="preserve">. </w:t>
      </w:r>
      <w:r w:rsidR="00277F7A" w:rsidRPr="005B3D08">
        <w:t xml:space="preserve">The case studies are meant to provide a small glimpse into the housing situations of individuals in the counties and cities. </w:t>
      </w:r>
      <w:r w:rsidR="006B7189" w:rsidRPr="005B3D08">
        <w:t xml:space="preserve">Those interviewed were anonymous and provided the research team with their age, commute time, percent spent on housing, and if affordable housing was difficult or easy to find. These results were compiled and put into an excel file where the data could be analyzed and compared. </w:t>
      </w:r>
    </w:p>
    <w:p w:rsidR="00A8562B" w:rsidRPr="005B3D08" w:rsidRDefault="00A8562B" w:rsidP="005B3D08">
      <w:pPr>
        <w:spacing w:line="240" w:lineRule="auto"/>
        <w:contextualSpacing/>
      </w:pPr>
    </w:p>
    <w:p w:rsidR="00957B04" w:rsidRPr="005B3D08" w:rsidRDefault="00957B04" w:rsidP="005B3D08">
      <w:pPr>
        <w:spacing w:line="240" w:lineRule="auto"/>
        <w:contextualSpacing/>
      </w:pPr>
      <w:r w:rsidRPr="005B3D08">
        <w:t xml:space="preserve">After the research was completed, alternative housing options that would ease housing difficulties were considered. The options focused on were subsidized housing, renting basements, and converting old hotels to apartment complexes. These options were researched and the feasibility considered. </w:t>
      </w:r>
    </w:p>
    <w:p w:rsidR="00277F7A" w:rsidRDefault="00277F7A" w:rsidP="00277F7A"/>
    <w:p w:rsidR="00A8562B" w:rsidRPr="00764386" w:rsidRDefault="00445CFA" w:rsidP="00904256">
      <w:pPr>
        <w:pStyle w:val="Heading1"/>
        <w:spacing w:line="240" w:lineRule="auto"/>
        <w:contextualSpacing/>
        <w:rPr>
          <w:color w:val="4E5612"/>
          <w:szCs w:val="52"/>
        </w:rPr>
      </w:pPr>
      <w:bookmarkStart w:id="3" w:name="_Toc329954130"/>
      <w:r w:rsidRPr="00764386">
        <w:rPr>
          <w:color w:val="4E5612"/>
          <w:szCs w:val="52"/>
        </w:rPr>
        <w:lastRenderedPageBreak/>
        <w:t>Research</w:t>
      </w:r>
      <w:bookmarkEnd w:id="3"/>
    </w:p>
    <w:p w:rsidR="00A76E8D" w:rsidRPr="006A63AF" w:rsidRDefault="00A76E8D" w:rsidP="00904256">
      <w:pPr>
        <w:pStyle w:val="Heading1"/>
        <w:spacing w:line="240" w:lineRule="auto"/>
        <w:contextualSpacing/>
      </w:pPr>
    </w:p>
    <w:p w:rsidR="00A76E8D" w:rsidRPr="00B5536D" w:rsidRDefault="00A77B10" w:rsidP="00904256">
      <w:pPr>
        <w:pStyle w:val="Heading1"/>
        <w:spacing w:line="240" w:lineRule="auto"/>
        <w:contextualSpacing/>
        <w:rPr>
          <w:color w:val="4E5612"/>
        </w:rPr>
      </w:pPr>
      <w:bookmarkStart w:id="4" w:name="_Toc329954131"/>
      <w:r>
        <w:rPr>
          <w:color w:val="4E5612"/>
        </w:rPr>
        <w:t xml:space="preserve">County </w:t>
      </w:r>
      <w:r w:rsidR="00A76E8D" w:rsidRPr="00B5536D">
        <w:rPr>
          <w:color w:val="4E5612"/>
        </w:rPr>
        <w:t>Housing Market Analysis</w:t>
      </w:r>
      <w:bookmarkEnd w:id="4"/>
    </w:p>
    <w:p w:rsidR="00A8562B" w:rsidRPr="006A63AF" w:rsidRDefault="00A8562B" w:rsidP="00904256">
      <w:pPr>
        <w:pStyle w:val="Heading2"/>
        <w:spacing w:line="240" w:lineRule="auto"/>
        <w:contextualSpacing/>
      </w:pPr>
      <w:bookmarkStart w:id="5" w:name="_Toc329954132"/>
      <w:r w:rsidRPr="006A63AF">
        <w:t>Madison County</w:t>
      </w:r>
      <w:bookmarkEnd w:id="5"/>
    </w:p>
    <w:p w:rsidR="006A63AF" w:rsidRDefault="006A63AF" w:rsidP="006A63AF">
      <w:pPr>
        <w:spacing w:line="240" w:lineRule="auto"/>
        <w:contextualSpacing/>
      </w:pPr>
    </w:p>
    <w:p w:rsidR="00B5536D" w:rsidRPr="00764386" w:rsidRDefault="00A8562B" w:rsidP="006A63AF">
      <w:pPr>
        <w:spacing w:line="240" w:lineRule="auto"/>
        <w:contextualSpacing/>
        <w:rPr>
          <w:b/>
          <w:color w:val="4E5612"/>
          <w:sz w:val="25"/>
        </w:rPr>
      </w:pPr>
      <w:r w:rsidRPr="00764386">
        <w:rPr>
          <w:b/>
          <w:color w:val="4E5612"/>
          <w:sz w:val="25"/>
        </w:rPr>
        <w:t>Population</w:t>
      </w:r>
    </w:p>
    <w:p w:rsidR="00A8562B" w:rsidRPr="006A63AF" w:rsidRDefault="00A8562B" w:rsidP="006A63AF">
      <w:pPr>
        <w:spacing w:line="240" w:lineRule="auto"/>
        <w:contextualSpacing/>
      </w:pPr>
      <w:r w:rsidRPr="006A63AF">
        <w:t xml:space="preserve">According to the 2010 United Census, Madison County, Idaho </w:t>
      </w:r>
      <w:r w:rsidR="00DA5328" w:rsidRPr="006A63AF">
        <w:t>ha</w:t>
      </w:r>
      <w:r w:rsidR="00DA5328">
        <w:t xml:space="preserve">s </w:t>
      </w:r>
      <w:r w:rsidRPr="006A63AF">
        <w:t>a</w:t>
      </w:r>
      <w:r w:rsidR="00DA5328">
        <w:t xml:space="preserve"> reported</w:t>
      </w:r>
      <w:r w:rsidRPr="006A63AF">
        <w:t xml:space="preserve"> population of 37,536. Since the year 2000, Madison County’s population has experienced an increase of 36.7%.</w:t>
      </w:r>
      <w:r w:rsidRPr="006A63AF">
        <w:rPr>
          <w:rStyle w:val="FootnoteReference"/>
        </w:rPr>
        <w:footnoteReference w:id="1"/>
      </w:r>
      <w:r w:rsidRPr="006A63AF">
        <w:t xml:space="preserve"> </w:t>
      </w:r>
      <w:r w:rsidR="00CB669B">
        <w:t>T</w:t>
      </w:r>
      <w:r w:rsidRPr="006A63AF">
        <w:t>his increase can be attributed</w:t>
      </w:r>
      <w:r w:rsidR="00CB669B">
        <w:t xml:space="preserve"> partially</w:t>
      </w:r>
      <w:r w:rsidRPr="006A63AF">
        <w:t xml:space="preserve"> to the transition from Ricks College to BYU-Idaho in 2000 and the subsequent increase in enrollment. In 2000, total enrollment at Ricks College for the fall semester was 8,949.</w:t>
      </w:r>
      <w:r w:rsidRPr="006A63AF">
        <w:rPr>
          <w:rStyle w:val="FootnoteReference"/>
        </w:rPr>
        <w:footnoteReference w:id="2"/>
      </w:r>
      <w:r w:rsidRPr="006A63AF">
        <w:t xml:space="preserve"> In the fall semester of 2010, total enrollment at BYU-I was 14,150.</w:t>
      </w:r>
      <w:r w:rsidRPr="006A63AF">
        <w:rPr>
          <w:rStyle w:val="FootnoteReference"/>
        </w:rPr>
        <w:footnoteReference w:id="3"/>
      </w:r>
      <w:r w:rsidRPr="006A63AF">
        <w:t xml:space="preserve">  Over that ten-year span, total enrollment increased 58.1%. </w:t>
      </w:r>
    </w:p>
    <w:p w:rsidR="006A63AF" w:rsidRDefault="006A63AF" w:rsidP="006A63AF">
      <w:pPr>
        <w:spacing w:line="240" w:lineRule="auto"/>
        <w:contextualSpacing/>
      </w:pPr>
    </w:p>
    <w:p w:rsidR="00A8562B" w:rsidRPr="00764386" w:rsidRDefault="00A8562B" w:rsidP="006A63AF">
      <w:pPr>
        <w:spacing w:line="240" w:lineRule="auto"/>
        <w:contextualSpacing/>
        <w:rPr>
          <w:b/>
          <w:color w:val="4E5612"/>
          <w:sz w:val="25"/>
        </w:rPr>
      </w:pPr>
      <w:r w:rsidRPr="00764386">
        <w:rPr>
          <w:b/>
          <w:color w:val="4E5612"/>
          <w:sz w:val="25"/>
        </w:rPr>
        <w:t>Age</w:t>
      </w:r>
    </w:p>
    <w:p w:rsidR="00A8562B" w:rsidRPr="006A63AF" w:rsidRDefault="00A8562B" w:rsidP="006A63AF">
      <w:pPr>
        <w:spacing w:line="240" w:lineRule="auto"/>
        <w:contextualSpacing/>
      </w:pPr>
      <w:r w:rsidRPr="006A63AF">
        <w:t>In the 2010 Census report, Madison County had a median age of 22.6 years. Below is the age breakdown of the county population. The age group that makes up the biggest portion of the population is age 20-29.</w:t>
      </w:r>
      <w:r w:rsidRPr="006A63AF">
        <w:rPr>
          <w:rStyle w:val="FootnoteReference"/>
        </w:rPr>
        <w:t xml:space="preserve"> </w:t>
      </w:r>
      <w:r w:rsidRPr="006A63AF">
        <w:rPr>
          <w:rStyle w:val="FootnoteReference"/>
        </w:rPr>
        <w:footnoteReference w:id="4"/>
      </w:r>
    </w:p>
    <w:tbl>
      <w:tblPr>
        <w:tblW w:w="2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440"/>
      </w:tblGrid>
      <w:tr w:rsidR="00A8562B" w:rsidRPr="006A63AF" w:rsidTr="001B6FFE">
        <w:trPr>
          <w:trHeight w:val="144"/>
          <w:jc w:val="center"/>
        </w:trPr>
        <w:tc>
          <w:tcPr>
            <w:tcW w:w="1440" w:type="dxa"/>
            <w:gridSpan w:val="2"/>
            <w:shd w:val="clear" w:color="auto" w:fill="7A853E"/>
            <w:noWrap/>
            <w:vAlign w:val="bottom"/>
          </w:tcPr>
          <w:p w:rsidR="00A8562B" w:rsidRPr="006A63AF" w:rsidRDefault="00A8562B" w:rsidP="006A63AF">
            <w:pPr>
              <w:spacing w:line="240" w:lineRule="auto"/>
              <w:contextualSpacing/>
              <w:jc w:val="center"/>
              <w:rPr>
                <w:szCs w:val="20"/>
              </w:rPr>
            </w:pPr>
            <w:r w:rsidRPr="006A63AF">
              <w:rPr>
                <w:szCs w:val="20"/>
              </w:rPr>
              <w:t>Madison County</w:t>
            </w:r>
          </w:p>
        </w:tc>
      </w:tr>
      <w:tr w:rsidR="00A8562B" w:rsidRPr="006A63AF" w:rsidTr="001B6FFE">
        <w:trPr>
          <w:trHeight w:val="144"/>
          <w:jc w:val="center"/>
        </w:trPr>
        <w:tc>
          <w:tcPr>
            <w:tcW w:w="144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Age</w:t>
            </w:r>
          </w:p>
        </w:tc>
        <w:tc>
          <w:tcPr>
            <w:tcW w:w="144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Number</w:t>
            </w:r>
          </w:p>
        </w:tc>
      </w:tr>
      <w:tr w:rsidR="00A8562B" w:rsidRPr="006A63AF" w:rsidTr="001B6FFE">
        <w:trPr>
          <w:trHeight w:val="144"/>
          <w:jc w:val="center"/>
        </w:trPr>
        <w:tc>
          <w:tcPr>
            <w:tcW w:w="144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Under 9</w:t>
            </w:r>
          </w:p>
        </w:tc>
        <w:tc>
          <w:tcPr>
            <w:tcW w:w="144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6,069</w:t>
            </w:r>
          </w:p>
        </w:tc>
      </w:tr>
      <w:tr w:rsidR="00A8562B" w:rsidRPr="006A63AF" w:rsidTr="001B6FFE">
        <w:trPr>
          <w:trHeight w:val="144"/>
          <w:jc w:val="center"/>
        </w:trPr>
        <w:tc>
          <w:tcPr>
            <w:tcW w:w="144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10-19</w:t>
            </w:r>
          </w:p>
        </w:tc>
        <w:tc>
          <w:tcPr>
            <w:tcW w:w="144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7,176</w:t>
            </w:r>
          </w:p>
        </w:tc>
      </w:tr>
      <w:tr w:rsidR="00A8562B" w:rsidRPr="006A63AF" w:rsidTr="001B6FFE">
        <w:trPr>
          <w:trHeight w:val="144"/>
          <w:jc w:val="center"/>
        </w:trPr>
        <w:tc>
          <w:tcPr>
            <w:tcW w:w="144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20-29</w:t>
            </w:r>
          </w:p>
        </w:tc>
        <w:tc>
          <w:tcPr>
            <w:tcW w:w="144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13,900</w:t>
            </w:r>
          </w:p>
        </w:tc>
      </w:tr>
      <w:tr w:rsidR="00A8562B" w:rsidRPr="006A63AF" w:rsidTr="001B6FFE">
        <w:trPr>
          <w:trHeight w:val="144"/>
          <w:jc w:val="center"/>
        </w:trPr>
        <w:tc>
          <w:tcPr>
            <w:tcW w:w="144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30-39</w:t>
            </w:r>
          </w:p>
        </w:tc>
        <w:tc>
          <w:tcPr>
            <w:tcW w:w="144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2,905</w:t>
            </w:r>
          </w:p>
        </w:tc>
      </w:tr>
      <w:tr w:rsidR="00A8562B" w:rsidRPr="006A63AF" w:rsidTr="001B6FFE">
        <w:trPr>
          <w:trHeight w:val="144"/>
          <w:jc w:val="center"/>
        </w:trPr>
        <w:tc>
          <w:tcPr>
            <w:tcW w:w="144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40-49</w:t>
            </w:r>
          </w:p>
        </w:tc>
        <w:tc>
          <w:tcPr>
            <w:tcW w:w="144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2,335</w:t>
            </w:r>
          </w:p>
        </w:tc>
      </w:tr>
      <w:tr w:rsidR="00A8562B" w:rsidRPr="006A63AF" w:rsidTr="001B6FFE">
        <w:trPr>
          <w:trHeight w:val="144"/>
          <w:jc w:val="center"/>
        </w:trPr>
        <w:tc>
          <w:tcPr>
            <w:tcW w:w="144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50-59</w:t>
            </w:r>
          </w:p>
        </w:tc>
        <w:tc>
          <w:tcPr>
            <w:tcW w:w="144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2,257</w:t>
            </w:r>
          </w:p>
        </w:tc>
      </w:tr>
      <w:tr w:rsidR="00A8562B" w:rsidRPr="006A63AF" w:rsidTr="001B6FFE">
        <w:trPr>
          <w:trHeight w:val="144"/>
          <w:jc w:val="center"/>
        </w:trPr>
        <w:tc>
          <w:tcPr>
            <w:tcW w:w="144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60-69</w:t>
            </w:r>
          </w:p>
        </w:tc>
        <w:tc>
          <w:tcPr>
            <w:tcW w:w="144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1,438</w:t>
            </w:r>
          </w:p>
        </w:tc>
      </w:tr>
      <w:tr w:rsidR="00A8562B" w:rsidRPr="006A63AF" w:rsidTr="001B6FFE">
        <w:trPr>
          <w:trHeight w:val="144"/>
          <w:jc w:val="center"/>
        </w:trPr>
        <w:tc>
          <w:tcPr>
            <w:tcW w:w="144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70-79</w:t>
            </w:r>
          </w:p>
        </w:tc>
        <w:tc>
          <w:tcPr>
            <w:tcW w:w="144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877</w:t>
            </w:r>
          </w:p>
        </w:tc>
      </w:tr>
      <w:tr w:rsidR="00A8562B" w:rsidRPr="006A63AF" w:rsidTr="001B6FFE">
        <w:trPr>
          <w:trHeight w:val="144"/>
          <w:jc w:val="center"/>
        </w:trPr>
        <w:tc>
          <w:tcPr>
            <w:tcW w:w="144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Over 80</w:t>
            </w:r>
          </w:p>
        </w:tc>
        <w:tc>
          <w:tcPr>
            <w:tcW w:w="1440" w:type="dxa"/>
            <w:shd w:val="clear" w:color="auto" w:fill="auto"/>
            <w:noWrap/>
            <w:vAlign w:val="bottom"/>
          </w:tcPr>
          <w:p w:rsidR="00A8562B" w:rsidRPr="006A63AF" w:rsidRDefault="00A8562B" w:rsidP="00521747">
            <w:pPr>
              <w:keepNext/>
              <w:spacing w:line="240" w:lineRule="auto"/>
              <w:contextualSpacing/>
              <w:jc w:val="right"/>
              <w:rPr>
                <w:szCs w:val="20"/>
              </w:rPr>
            </w:pPr>
            <w:r w:rsidRPr="006A63AF">
              <w:rPr>
                <w:szCs w:val="20"/>
              </w:rPr>
              <w:t>579</w:t>
            </w:r>
          </w:p>
        </w:tc>
      </w:tr>
    </w:tbl>
    <w:p w:rsidR="00A8562B" w:rsidRPr="006A63AF" w:rsidRDefault="00521747" w:rsidP="00521747">
      <w:pPr>
        <w:pStyle w:val="Caption"/>
      </w:pPr>
      <w:r>
        <w:tab/>
      </w:r>
      <w:r>
        <w:tab/>
      </w:r>
      <w:r>
        <w:tab/>
      </w:r>
      <w:r>
        <w:tab/>
        <w:t xml:space="preserve">             Figure </w:t>
      </w:r>
      <w:fldSimple w:instr=" SEQ Figure \* ARABIC ">
        <w:r w:rsidR="00707511">
          <w:rPr>
            <w:noProof/>
          </w:rPr>
          <w:t>1</w:t>
        </w:r>
      </w:fldSimple>
    </w:p>
    <w:p w:rsidR="00A8562B" w:rsidRPr="006A63AF" w:rsidRDefault="00A8562B" w:rsidP="006A63AF">
      <w:pPr>
        <w:spacing w:line="240" w:lineRule="auto"/>
        <w:contextualSpacing/>
      </w:pPr>
      <w:r w:rsidRPr="006A63AF">
        <w:t>The population of BYU-Idaho skews the county age breakdown of Madison County. Of the 14,150 total students enrolled in the fall of 2010, 13,597 were between the ages of 18 and 29.</w:t>
      </w:r>
      <w:r w:rsidRPr="006A63AF">
        <w:rPr>
          <w:rStyle w:val="FootnoteReference"/>
        </w:rPr>
        <w:footnoteReference w:id="5"/>
      </w:r>
    </w:p>
    <w:p w:rsidR="00764386" w:rsidRDefault="00764386" w:rsidP="006A63AF">
      <w:pPr>
        <w:spacing w:line="240" w:lineRule="auto"/>
        <w:contextualSpacing/>
        <w:rPr>
          <w:b/>
          <w:color w:val="4E5612"/>
          <w:sz w:val="25"/>
        </w:rPr>
      </w:pPr>
    </w:p>
    <w:p w:rsidR="00A8562B" w:rsidRPr="00713818" w:rsidRDefault="00A8562B" w:rsidP="006A63AF">
      <w:pPr>
        <w:spacing w:line="240" w:lineRule="auto"/>
        <w:contextualSpacing/>
        <w:rPr>
          <w:b/>
          <w:color w:val="4E5612"/>
          <w:sz w:val="25"/>
        </w:rPr>
      </w:pPr>
      <w:r w:rsidRPr="00713818">
        <w:rPr>
          <w:b/>
          <w:color w:val="4E5612"/>
          <w:sz w:val="25"/>
        </w:rPr>
        <w:t>Employment</w:t>
      </w:r>
    </w:p>
    <w:p w:rsidR="00A8562B" w:rsidRPr="006A63AF" w:rsidRDefault="00A8562B" w:rsidP="006A63AF">
      <w:pPr>
        <w:spacing w:line="240" w:lineRule="auto"/>
        <w:contextualSpacing/>
      </w:pPr>
      <w:r w:rsidRPr="006A63AF">
        <w:t xml:space="preserve">Of the 37,536 people residing in Madison County, 27,796 are over 16 years of age. The labor force of Madison County is 17,665. </w:t>
      </w:r>
      <w:r w:rsidR="00ED17A9">
        <w:t xml:space="preserve"> This number only includes those working or looking for work. Students are not included as part of the labor force. </w:t>
      </w:r>
      <w:r w:rsidRPr="006A63AF">
        <w:t xml:space="preserve">Of that number, 16,291 are employed with </w:t>
      </w:r>
      <w:r w:rsidRPr="006A63AF">
        <w:lastRenderedPageBreak/>
        <w:t>1,361 unemployed. Those who are employed and have to commute to work have a mean commute time of 15.2 minutes.</w:t>
      </w:r>
      <w:r w:rsidRPr="006A63AF">
        <w:rPr>
          <w:rStyle w:val="FootnoteReference"/>
        </w:rPr>
        <w:t xml:space="preserve"> </w:t>
      </w:r>
      <w:r w:rsidRPr="006A63AF">
        <w:rPr>
          <w:rStyle w:val="FootnoteReference"/>
        </w:rPr>
        <w:footnoteReference w:id="6"/>
      </w:r>
    </w:p>
    <w:p w:rsidR="00BA4FDF" w:rsidRDefault="00BA4FDF"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 xml:space="preserve">Income </w:t>
      </w:r>
    </w:p>
    <w:p w:rsidR="00764386" w:rsidRPr="006A63AF" w:rsidRDefault="00A8562B" w:rsidP="00764386">
      <w:pPr>
        <w:spacing w:line="240" w:lineRule="auto"/>
        <w:contextualSpacing/>
      </w:pPr>
      <w:r w:rsidRPr="006A63AF">
        <w:t xml:space="preserve">Of the total population of Madison County, there are 9,868 households. The income of each household is broken down below. The median household income was $35,461 with a mean income of $48,780. This discrepancy between the median and mean indicates that there are some outliers boosting the overall mean income. </w:t>
      </w:r>
      <w:r w:rsidR="00764386">
        <w:t xml:space="preserve">The largest segment is </w:t>
      </w:r>
      <w:r w:rsidR="00764386" w:rsidRPr="006A63AF">
        <w:t xml:space="preserve">those who make between $10,000 and $24,999 per year. </w:t>
      </w:r>
      <w:r w:rsidR="00ED17A9" w:rsidRPr="006A63AF">
        <w:t xml:space="preserve"> </w:t>
      </w:r>
      <w:r w:rsidR="00ED17A9" w:rsidRPr="006A63AF">
        <w:rPr>
          <w:rStyle w:val="FootnoteReference"/>
        </w:rPr>
        <w:footnoteReference w:id="7"/>
      </w:r>
    </w:p>
    <w:p w:rsidR="00A8562B" w:rsidRPr="006A63AF" w:rsidRDefault="00A8562B" w:rsidP="006A63AF">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98"/>
        <w:gridCol w:w="2700"/>
        <w:gridCol w:w="3978"/>
      </w:tblGrid>
      <w:tr w:rsidR="00A8562B" w:rsidRPr="006A63AF" w:rsidTr="001B6FFE">
        <w:tc>
          <w:tcPr>
            <w:tcW w:w="2898" w:type="dxa"/>
            <w:shd w:val="clear" w:color="auto" w:fill="auto"/>
          </w:tcPr>
          <w:p w:rsidR="00A8562B" w:rsidRPr="006A63AF" w:rsidRDefault="00A8562B" w:rsidP="006A63AF">
            <w:pPr>
              <w:contextualSpacing/>
              <w:rPr>
                <w:rFonts w:ascii="Garamond" w:hAnsi="Garamond"/>
                <w:b/>
              </w:rPr>
            </w:pPr>
            <w:r w:rsidRPr="006A63AF">
              <w:rPr>
                <w:rFonts w:ascii="Garamond" w:hAnsi="Garamond"/>
                <w:b/>
              </w:rPr>
              <w:t>Income</w:t>
            </w:r>
          </w:p>
        </w:tc>
        <w:tc>
          <w:tcPr>
            <w:tcW w:w="2700" w:type="dxa"/>
            <w:shd w:val="clear" w:color="auto" w:fill="auto"/>
          </w:tcPr>
          <w:p w:rsidR="00A8562B" w:rsidRPr="006A63AF" w:rsidRDefault="00A8562B" w:rsidP="006A63AF">
            <w:pPr>
              <w:contextualSpacing/>
              <w:jc w:val="center"/>
              <w:rPr>
                <w:rFonts w:ascii="Garamond" w:hAnsi="Garamond"/>
                <w:b/>
              </w:rPr>
            </w:pPr>
            <w:r w:rsidRPr="006A63AF">
              <w:rPr>
                <w:rFonts w:ascii="Garamond" w:hAnsi="Garamond"/>
                <w:b/>
              </w:rPr>
              <w:t>Households</w:t>
            </w:r>
          </w:p>
        </w:tc>
        <w:tc>
          <w:tcPr>
            <w:tcW w:w="3978" w:type="dxa"/>
            <w:shd w:val="clear" w:color="auto" w:fill="auto"/>
          </w:tcPr>
          <w:p w:rsidR="00A8562B" w:rsidRPr="006A63AF" w:rsidRDefault="00A8562B" w:rsidP="006A63AF">
            <w:pPr>
              <w:contextualSpacing/>
              <w:jc w:val="center"/>
              <w:rPr>
                <w:rFonts w:ascii="Garamond" w:hAnsi="Garamond"/>
                <w:b/>
              </w:rPr>
            </w:pPr>
            <w:r w:rsidRPr="006A63AF">
              <w:rPr>
                <w:rFonts w:ascii="Garamond" w:hAnsi="Garamond"/>
                <w:b/>
              </w:rPr>
              <w:t>Percentage of Total Households</w:t>
            </w:r>
          </w:p>
        </w:tc>
      </w:tr>
      <w:tr w:rsidR="00A8562B" w:rsidRPr="006A63AF" w:rsidTr="001B6FFE">
        <w:tc>
          <w:tcPr>
            <w:tcW w:w="2898" w:type="dxa"/>
          </w:tcPr>
          <w:p w:rsidR="00A8562B" w:rsidRPr="006A63AF" w:rsidRDefault="00A8562B" w:rsidP="006A63AF">
            <w:pPr>
              <w:contextualSpacing/>
              <w:rPr>
                <w:rFonts w:ascii="Garamond" w:hAnsi="Garamond"/>
              </w:rPr>
            </w:pPr>
            <w:r w:rsidRPr="006A63AF">
              <w:rPr>
                <w:rFonts w:ascii="Garamond" w:hAnsi="Garamond"/>
              </w:rPr>
              <w:t>$0 to 9,999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890</w:t>
            </w:r>
          </w:p>
        </w:tc>
        <w:tc>
          <w:tcPr>
            <w:tcW w:w="3978" w:type="dxa"/>
          </w:tcPr>
          <w:p w:rsidR="00A8562B" w:rsidRPr="006A63AF" w:rsidRDefault="00A8562B" w:rsidP="006A63AF">
            <w:pPr>
              <w:contextualSpacing/>
              <w:jc w:val="center"/>
              <w:rPr>
                <w:rFonts w:ascii="Garamond" w:hAnsi="Garamond"/>
              </w:rPr>
            </w:pPr>
            <w:r w:rsidRPr="006A63AF">
              <w:rPr>
                <w:rFonts w:ascii="Garamond" w:hAnsi="Garamond"/>
              </w:rPr>
              <w:t>9.0%</w:t>
            </w:r>
          </w:p>
        </w:tc>
      </w:tr>
      <w:tr w:rsidR="00A8562B" w:rsidRPr="006A63AF" w:rsidTr="001B6FFE">
        <w:tc>
          <w:tcPr>
            <w:tcW w:w="2898" w:type="dxa"/>
          </w:tcPr>
          <w:p w:rsidR="00A8562B" w:rsidRPr="006A63AF" w:rsidRDefault="00A8562B" w:rsidP="006A63AF">
            <w:pPr>
              <w:contextualSpacing/>
              <w:rPr>
                <w:rFonts w:ascii="Garamond" w:hAnsi="Garamond"/>
              </w:rPr>
            </w:pPr>
            <w:r w:rsidRPr="006A63AF">
              <w:rPr>
                <w:rFonts w:ascii="Garamond" w:hAnsi="Garamond"/>
              </w:rPr>
              <w:t>$10,000 to $24,999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2811</w:t>
            </w:r>
          </w:p>
        </w:tc>
        <w:tc>
          <w:tcPr>
            <w:tcW w:w="3978" w:type="dxa"/>
          </w:tcPr>
          <w:p w:rsidR="00A8562B" w:rsidRPr="006A63AF" w:rsidRDefault="00A8562B" w:rsidP="006A63AF">
            <w:pPr>
              <w:contextualSpacing/>
              <w:jc w:val="center"/>
              <w:rPr>
                <w:rFonts w:ascii="Garamond" w:hAnsi="Garamond"/>
              </w:rPr>
            </w:pPr>
            <w:r w:rsidRPr="006A63AF">
              <w:rPr>
                <w:rFonts w:ascii="Garamond" w:hAnsi="Garamond"/>
              </w:rPr>
              <w:t>28.50%</w:t>
            </w:r>
          </w:p>
        </w:tc>
      </w:tr>
      <w:tr w:rsidR="00A8562B" w:rsidRPr="006A63AF" w:rsidTr="001B6FFE">
        <w:tc>
          <w:tcPr>
            <w:tcW w:w="2898" w:type="dxa"/>
          </w:tcPr>
          <w:p w:rsidR="00A8562B" w:rsidRPr="006A63AF" w:rsidRDefault="00A8562B" w:rsidP="006A63AF">
            <w:pPr>
              <w:contextualSpacing/>
              <w:rPr>
                <w:rFonts w:ascii="Garamond" w:hAnsi="Garamond"/>
              </w:rPr>
            </w:pPr>
            <w:r w:rsidRPr="006A63AF">
              <w:rPr>
                <w:rFonts w:ascii="Garamond" w:hAnsi="Garamond"/>
              </w:rPr>
              <w:t>$25,000 to $49,999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2,618</w:t>
            </w:r>
          </w:p>
        </w:tc>
        <w:tc>
          <w:tcPr>
            <w:tcW w:w="3978" w:type="dxa"/>
          </w:tcPr>
          <w:p w:rsidR="00A8562B" w:rsidRPr="006A63AF" w:rsidRDefault="00A8562B" w:rsidP="006A63AF">
            <w:pPr>
              <w:contextualSpacing/>
              <w:jc w:val="center"/>
              <w:rPr>
                <w:rFonts w:ascii="Garamond" w:hAnsi="Garamond"/>
              </w:rPr>
            </w:pPr>
            <w:r w:rsidRPr="006A63AF">
              <w:rPr>
                <w:rFonts w:ascii="Garamond" w:hAnsi="Garamond"/>
              </w:rPr>
              <w:t>26.53%</w:t>
            </w:r>
          </w:p>
        </w:tc>
      </w:tr>
      <w:tr w:rsidR="00A8562B" w:rsidRPr="006A63AF" w:rsidTr="001B6FFE">
        <w:tc>
          <w:tcPr>
            <w:tcW w:w="2898" w:type="dxa"/>
          </w:tcPr>
          <w:p w:rsidR="00A8562B" w:rsidRPr="006A63AF" w:rsidRDefault="00A8562B" w:rsidP="006A63AF">
            <w:pPr>
              <w:contextualSpacing/>
              <w:rPr>
                <w:rFonts w:ascii="Garamond" w:hAnsi="Garamond"/>
              </w:rPr>
            </w:pPr>
            <w:r w:rsidRPr="006A63AF">
              <w:rPr>
                <w:rFonts w:ascii="Garamond" w:hAnsi="Garamond"/>
              </w:rPr>
              <w:t>$50,000 to $74,999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1,730</w:t>
            </w:r>
          </w:p>
        </w:tc>
        <w:tc>
          <w:tcPr>
            <w:tcW w:w="3978" w:type="dxa"/>
          </w:tcPr>
          <w:p w:rsidR="00A8562B" w:rsidRPr="006A63AF" w:rsidRDefault="00A8562B" w:rsidP="006A63AF">
            <w:pPr>
              <w:contextualSpacing/>
              <w:jc w:val="center"/>
              <w:rPr>
                <w:rFonts w:ascii="Garamond" w:hAnsi="Garamond"/>
              </w:rPr>
            </w:pPr>
            <w:r w:rsidRPr="006A63AF">
              <w:rPr>
                <w:rFonts w:ascii="Garamond" w:hAnsi="Garamond"/>
              </w:rPr>
              <w:t>17.53%</w:t>
            </w:r>
          </w:p>
        </w:tc>
      </w:tr>
      <w:tr w:rsidR="00A8562B" w:rsidRPr="006A63AF" w:rsidTr="001B6FFE">
        <w:tc>
          <w:tcPr>
            <w:tcW w:w="2898" w:type="dxa"/>
          </w:tcPr>
          <w:p w:rsidR="00A8562B" w:rsidRPr="006A63AF" w:rsidRDefault="00A8562B" w:rsidP="006A63AF">
            <w:pPr>
              <w:contextualSpacing/>
              <w:rPr>
                <w:rFonts w:ascii="Garamond" w:hAnsi="Garamond"/>
              </w:rPr>
            </w:pPr>
            <w:r w:rsidRPr="006A63AF">
              <w:rPr>
                <w:rFonts w:ascii="Garamond" w:hAnsi="Garamond"/>
              </w:rPr>
              <w:t>$75,000 to $99,999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954</w:t>
            </w:r>
          </w:p>
        </w:tc>
        <w:tc>
          <w:tcPr>
            <w:tcW w:w="3978" w:type="dxa"/>
          </w:tcPr>
          <w:p w:rsidR="00A8562B" w:rsidRPr="006A63AF" w:rsidRDefault="00A8562B" w:rsidP="006A63AF">
            <w:pPr>
              <w:contextualSpacing/>
              <w:jc w:val="center"/>
              <w:rPr>
                <w:rFonts w:ascii="Garamond" w:hAnsi="Garamond"/>
              </w:rPr>
            </w:pPr>
            <w:r w:rsidRPr="006A63AF">
              <w:rPr>
                <w:rFonts w:ascii="Garamond" w:hAnsi="Garamond"/>
              </w:rPr>
              <w:t>9.67%</w:t>
            </w:r>
          </w:p>
        </w:tc>
      </w:tr>
      <w:tr w:rsidR="00A8562B" w:rsidRPr="006A63AF" w:rsidTr="001B6FFE">
        <w:tc>
          <w:tcPr>
            <w:tcW w:w="2898" w:type="dxa"/>
          </w:tcPr>
          <w:p w:rsidR="00A8562B" w:rsidRPr="006A63AF" w:rsidRDefault="00A8562B" w:rsidP="006A63AF">
            <w:pPr>
              <w:contextualSpacing/>
              <w:rPr>
                <w:rFonts w:ascii="Garamond" w:hAnsi="Garamond"/>
              </w:rPr>
            </w:pPr>
            <w:r w:rsidRPr="006A63AF">
              <w:rPr>
                <w:rFonts w:ascii="Garamond" w:hAnsi="Garamond"/>
              </w:rPr>
              <w:t>$100,000 and Above</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865</w:t>
            </w:r>
          </w:p>
        </w:tc>
        <w:tc>
          <w:tcPr>
            <w:tcW w:w="3978" w:type="dxa"/>
          </w:tcPr>
          <w:p w:rsidR="00A8562B" w:rsidRPr="006A63AF" w:rsidRDefault="00A8562B" w:rsidP="007941A2">
            <w:pPr>
              <w:keepNext/>
              <w:contextualSpacing/>
              <w:jc w:val="center"/>
              <w:rPr>
                <w:rFonts w:ascii="Garamond" w:hAnsi="Garamond"/>
              </w:rPr>
            </w:pPr>
            <w:r w:rsidRPr="006A63AF">
              <w:rPr>
                <w:rFonts w:ascii="Garamond" w:hAnsi="Garamond"/>
              </w:rPr>
              <w:t>8.77%</w:t>
            </w:r>
          </w:p>
        </w:tc>
      </w:tr>
    </w:tbl>
    <w:p w:rsidR="00A8562B" w:rsidRPr="006A63AF" w:rsidRDefault="007941A2" w:rsidP="007941A2">
      <w:pPr>
        <w:pStyle w:val="Caption"/>
      </w:pPr>
      <w:r>
        <w:t xml:space="preserve">Figure </w:t>
      </w:r>
      <w:fldSimple w:instr=" SEQ Figure \* ARABIC ">
        <w:r w:rsidR="00707511">
          <w:rPr>
            <w:noProof/>
          </w:rPr>
          <w:t>2</w:t>
        </w:r>
      </w:fldSimple>
    </w:p>
    <w:p w:rsidR="007941A2" w:rsidRDefault="00A8562B" w:rsidP="007941A2">
      <w:pPr>
        <w:keepNext/>
        <w:spacing w:line="240" w:lineRule="auto"/>
        <w:contextualSpacing/>
      </w:pPr>
      <w:r w:rsidRPr="006A63AF">
        <w:rPr>
          <w:noProof/>
        </w:rPr>
        <w:drawing>
          <wp:inline distT="0" distB="0" distL="0" distR="0">
            <wp:extent cx="5918200" cy="2722033"/>
            <wp:effectExtent l="25400" t="25400" r="0" b="0"/>
            <wp:docPr id="3" name="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562B" w:rsidRPr="006A63AF" w:rsidRDefault="007941A2" w:rsidP="007941A2">
      <w:pPr>
        <w:pStyle w:val="Caption"/>
      </w:pPr>
      <w:r>
        <w:t xml:space="preserve">Figure </w:t>
      </w:r>
      <w:fldSimple w:instr=" SEQ Figure \* ARABIC ">
        <w:r w:rsidR="00707511">
          <w:rPr>
            <w:noProof/>
          </w:rPr>
          <w:t>3</w:t>
        </w:r>
      </w:fldSimple>
    </w:p>
    <w:p w:rsidR="00A8562B" w:rsidRPr="006A63AF" w:rsidRDefault="00A8562B" w:rsidP="006A63AF">
      <w:pPr>
        <w:pStyle w:val="Heading3"/>
        <w:spacing w:line="240" w:lineRule="auto"/>
        <w:contextualSpacing/>
        <w:rPr>
          <w:rFonts w:ascii="Garamond" w:hAnsi="Garamond"/>
          <w:color w:val="66A6B8" w:themeColor="accent3" w:themeShade="BF"/>
        </w:rPr>
      </w:pPr>
    </w:p>
    <w:p w:rsidR="003A2460" w:rsidRDefault="003A2460" w:rsidP="006A63AF">
      <w:pPr>
        <w:spacing w:line="240" w:lineRule="auto"/>
        <w:contextualSpacing/>
        <w:rPr>
          <w:b/>
          <w:color w:val="4E5612"/>
          <w:sz w:val="25"/>
        </w:rPr>
      </w:pPr>
    </w:p>
    <w:p w:rsidR="003A2460" w:rsidRDefault="003A2460"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lastRenderedPageBreak/>
        <w:t>Home Value</w:t>
      </w:r>
    </w:p>
    <w:p w:rsidR="00A8562B" w:rsidRPr="006A63AF" w:rsidRDefault="00A8562B" w:rsidP="006A63AF">
      <w:pPr>
        <w:spacing w:line="240" w:lineRule="auto"/>
        <w:contextualSpacing/>
      </w:pPr>
      <w:r w:rsidRPr="006A63AF">
        <w:t>The majority (71.6%) of home values in Madison County are between $100,000 and $299,999. The median home value for this county is $176,800.</w:t>
      </w:r>
      <w:r w:rsidRPr="006A63AF">
        <w:rPr>
          <w:rStyle w:val="FootnoteReference"/>
        </w:rPr>
        <w:t xml:space="preserve"> </w:t>
      </w:r>
      <w:r w:rsidRPr="006A63AF">
        <w:rPr>
          <w:rStyle w:val="FootnoteReference"/>
        </w:rPr>
        <w:footnoteReference w:id="8"/>
      </w:r>
    </w:p>
    <w:tbl>
      <w:tblPr>
        <w:tblStyle w:val="TableGrid"/>
        <w:tblpPr w:leftFromText="180" w:rightFromText="180" w:vertAnchor="text" w:tblpY="1"/>
        <w:tblOverlap w:val="neve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14"/>
        <w:gridCol w:w="3206"/>
        <w:gridCol w:w="2886"/>
      </w:tblGrid>
      <w:tr w:rsidR="00A8562B" w:rsidRPr="006A63AF" w:rsidTr="001B6FFE">
        <w:trPr>
          <w:trHeight w:val="275"/>
        </w:trPr>
        <w:tc>
          <w:tcPr>
            <w:tcW w:w="3014" w:type="dxa"/>
          </w:tcPr>
          <w:p w:rsidR="00A8562B" w:rsidRPr="006A63AF" w:rsidRDefault="00A8562B" w:rsidP="006A63AF">
            <w:pPr>
              <w:contextualSpacing/>
              <w:rPr>
                <w:rFonts w:ascii="Garamond" w:hAnsi="Garamond"/>
                <w:b/>
              </w:rPr>
            </w:pPr>
            <w:r w:rsidRPr="006A63AF">
              <w:rPr>
                <w:rFonts w:ascii="Garamond" w:hAnsi="Garamond"/>
                <w:b/>
              </w:rPr>
              <w:t>Value</w:t>
            </w:r>
          </w:p>
        </w:tc>
        <w:tc>
          <w:tcPr>
            <w:tcW w:w="3206" w:type="dxa"/>
          </w:tcPr>
          <w:p w:rsidR="00A8562B" w:rsidRPr="006A63AF" w:rsidRDefault="00A8562B" w:rsidP="006A63AF">
            <w:pPr>
              <w:contextualSpacing/>
              <w:jc w:val="center"/>
              <w:rPr>
                <w:rFonts w:ascii="Garamond" w:hAnsi="Garamond"/>
                <w:b/>
              </w:rPr>
            </w:pPr>
            <w:r w:rsidRPr="006A63AF">
              <w:rPr>
                <w:rFonts w:ascii="Garamond" w:hAnsi="Garamond"/>
                <w:b/>
              </w:rPr>
              <w:t>Owner Occupied Units</w:t>
            </w:r>
          </w:p>
        </w:tc>
        <w:tc>
          <w:tcPr>
            <w:tcW w:w="2886" w:type="dxa"/>
          </w:tcPr>
          <w:p w:rsidR="00A8562B" w:rsidRPr="006A63AF" w:rsidRDefault="00A8562B" w:rsidP="006A63AF">
            <w:pPr>
              <w:contextualSpacing/>
              <w:jc w:val="center"/>
              <w:rPr>
                <w:rFonts w:ascii="Garamond" w:hAnsi="Garamond"/>
                <w:b/>
              </w:rPr>
            </w:pPr>
            <w:r w:rsidRPr="006A63AF">
              <w:rPr>
                <w:rFonts w:ascii="Garamond" w:hAnsi="Garamond"/>
                <w:b/>
              </w:rPr>
              <w:t>Percentage of Population</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0 to $49,999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399</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7.7%</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$50,000 to $99,999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395</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7.6%</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$100,000 to $149,999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953</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18.4%</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$150,000 to $199,999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1,229</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23.8%</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$200,000 to $299,999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1,517</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29.4%</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$300,000 to $499,999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524</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10.1%</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$500,000 to $999,999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151</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2.9%</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$1,000,000 or more</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0</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0.0%</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Total</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5,168</w:t>
            </w:r>
          </w:p>
        </w:tc>
        <w:tc>
          <w:tcPr>
            <w:tcW w:w="2886" w:type="dxa"/>
          </w:tcPr>
          <w:p w:rsidR="00A8562B" w:rsidRPr="006A63AF" w:rsidRDefault="00A8562B" w:rsidP="007941A2">
            <w:pPr>
              <w:keepNext/>
              <w:contextualSpacing/>
              <w:jc w:val="center"/>
              <w:rPr>
                <w:rFonts w:ascii="Garamond" w:hAnsi="Garamond"/>
              </w:rPr>
            </w:pPr>
            <w:r w:rsidRPr="006A63AF">
              <w:rPr>
                <w:rFonts w:ascii="Garamond" w:hAnsi="Garamond"/>
              </w:rPr>
              <w:t>100%</w:t>
            </w:r>
          </w:p>
        </w:tc>
      </w:tr>
    </w:tbl>
    <w:p w:rsidR="007941A2" w:rsidRDefault="007941A2" w:rsidP="007941A2">
      <w:pPr>
        <w:pStyle w:val="Caption"/>
        <w:framePr w:hSpace="180" w:wrap="around" w:vAnchor="text" w:hAnchor="text" w:y="1"/>
        <w:suppressOverlap/>
      </w:pPr>
      <w:r>
        <w:t xml:space="preserve">Figure </w:t>
      </w:r>
      <w:fldSimple w:instr=" SEQ Figure \* ARABIC ">
        <w:r w:rsidR="00707511">
          <w:rPr>
            <w:noProof/>
          </w:rPr>
          <w:t>4</w:t>
        </w:r>
      </w:fldSimple>
    </w:p>
    <w:p w:rsidR="00A8562B" w:rsidRPr="006A63AF" w:rsidRDefault="00A8562B" w:rsidP="006A63AF">
      <w:pPr>
        <w:spacing w:line="240" w:lineRule="auto"/>
        <w:contextualSpacing/>
      </w:pPr>
    </w:p>
    <w:p w:rsidR="00A8562B" w:rsidRPr="006A63AF" w:rsidRDefault="00A8562B" w:rsidP="006A63AF">
      <w:pPr>
        <w:spacing w:line="240" w:lineRule="auto"/>
        <w:contextualSpacing/>
      </w:pPr>
    </w:p>
    <w:p w:rsidR="007941A2" w:rsidRDefault="00A8562B" w:rsidP="007941A2">
      <w:pPr>
        <w:keepNext/>
        <w:spacing w:line="240" w:lineRule="auto"/>
        <w:contextualSpacing/>
      </w:pPr>
      <w:r w:rsidRPr="006A63AF">
        <w:rPr>
          <w:noProof/>
        </w:rPr>
        <w:drawing>
          <wp:inline distT="0" distB="0" distL="0" distR="0">
            <wp:extent cx="5689600" cy="2997200"/>
            <wp:effectExtent l="25400" t="25400" r="0" b="0"/>
            <wp:docPr id="4" name="C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41A2" w:rsidRDefault="007941A2" w:rsidP="007941A2">
      <w:pPr>
        <w:pStyle w:val="Caption"/>
      </w:pPr>
      <w:r>
        <w:t xml:space="preserve">Figure </w:t>
      </w:r>
      <w:fldSimple w:instr=" SEQ Figure \* ARABIC ">
        <w:r w:rsidR="00707511">
          <w:rPr>
            <w:noProof/>
          </w:rPr>
          <w:t>5</w:t>
        </w:r>
      </w:fldSimple>
    </w:p>
    <w:p w:rsidR="00A8562B" w:rsidRPr="00BC10AC" w:rsidRDefault="00A8562B" w:rsidP="006A63AF">
      <w:pPr>
        <w:spacing w:line="240" w:lineRule="auto"/>
        <w:contextualSpacing/>
      </w:pPr>
      <w:r w:rsidRPr="00764386">
        <w:rPr>
          <w:b/>
          <w:color w:val="4E5612"/>
          <w:sz w:val="25"/>
        </w:rPr>
        <w:t>Housing Costs</w:t>
      </w:r>
    </w:p>
    <w:p w:rsidR="00A8562B" w:rsidRPr="006A63AF" w:rsidRDefault="00A8562B" w:rsidP="006A63AF">
      <w:pPr>
        <w:spacing w:line="240" w:lineRule="auto"/>
        <w:contextualSpacing/>
      </w:pPr>
      <w:r w:rsidRPr="006A63AF">
        <w:t>In general, it is recommended that households shouldn’t spend more than 30% of their income on housing costs.</w:t>
      </w:r>
      <w:r w:rsidRPr="006A63AF">
        <w:rPr>
          <w:rStyle w:val="FootnoteReference"/>
        </w:rPr>
        <w:footnoteReference w:id="9"/>
      </w:r>
      <w:r w:rsidRPr="006A63AF">
        <w:t xml:space="preserve"> Following are the monthly housing costs in Madison County broken down by houses with a mortgage, houses without a mortgage, and rental costs. </w:t>
      </w:r>
    </w:p>
    <w:p w:rsidR="00764386" w:rsidRDefault="00764386" w:rsidP="006A63AF">
      <w:pPr>
        <w:spacing w:line="240" w:lineRule="auto"/>
        <w:contextualSpacing/>
        <w:rPr>
          <w:b/>
          <w:color w:val="4E5612"/>
          <w:sz w:val="25"/>
        </w:rPr>
      </w:pPr>
    </w:p>
    <w:p w:rsidR="003A2460" w:rsidRDefault="003A2460" w:rsidP="006A63AF">
      <w:pPr>
        <w:spacing w:line="240" w:lineRule="auto"/>
        <w:contextualSpacing/>
        <w:rPr>
          <w:b/>
          <w:color w:val="4E5612"/>
          <w:sz w:val="25"/>
        </w:rPr>
      </w:pPr>
    </w:p>
    <w:p w:rsidR="00355BC6" w:rsidRDefault="00355BC6"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lastRenderedPageBreak/>
        <w:t>Housing Cost with a Mortgage</w:t>
      </w:r>
    </w:p>
    <w:p w:rsidR="00A8562B" w:rsidRDefault="00A8562B" w:rsidP="006A63AF">
      <w:pPr>
        <w:spacing w:line="240" w:lineRule="auto"/>
        <w:contextualSpacing/>
      </w:pPr>
      <w:r w:rsidRPr="006A63AF">
        <w:t>The majority of those with a mortgage s</w:t>
      </w:r>
      <w:r w:rsidR="00355BC6">
        <w:t>pend $1,000 or more per month; t</w:t>
      </w:r>
      <w:r w:rsidRPr="006A63AF">
        <w:t xml:space="preserve">he largest segment being those who spend between $1,000 and $1,499 at 33% of the population. </w:t>
      </w:r>
    </w:p>
    <w:p w:rsidR="00355BC6" w:rsidRPr="006A63AF" w:rsidRDefault="00355BC6" w:rsidP="006A63AF">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618"/>
        <w:gridCol w:w="2766"/>
        <w:gridCol w:w="3192"/>
      </w:tblGrid>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Monthly Mortgage Cost</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Number of Units</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Percent of Total Units</w:t>
            </w:r>
          </w:p>
        </w:tc>
      </w:tr>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Less than $300</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0</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0.0%</w:t>
            </w:r>
          </w:p>
        </w:tc>
      </w:tr>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$300 to $499</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86</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2.5%</w:t>
            </w:r>
          </w:p>
        </w:tc>
      </w:tr>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$500 to $699</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393</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11.5%</w:t>
            </w:r>
          </w:p>
        </w:tc>
      </w:tr>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$700 to $999</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738</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21.5%</w:t>
            </w:r>
          </w:p>
        </w:tc>
      </w:tr>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$1,000 to $1,499</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1,131</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33.0%</w:t>
            </w:r>
          </w:p>
        </w:tc>
      </w:tr>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$1,500 to $1,999</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731</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21.3%</w:t>
            </w:r>
          </w:p>
        </w:tc>
      </w:tr>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$2,000 or more</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353</w:t>
            </w:r>
          </w:p>
        </w:tc>
        <w:tc>
          <w:tcPr>
            <w:tcW w:w="3192" w:type="dxa"/>
          </w:tcPr>
          <w:p w:rsidR="00A8562B" w:rsidRPr="006A63AF" w:rsidRDefault="00A8562B" w:rsidP="007941A2">
            <w:pPr>
              <w:keepNext/>
              <w:contextualSpacing/>
              <w:jc w:val="center"/>
              <w:rPr>
                <w:rFonts w:ascii="Garamond" w:hAnsi="Garamond"/>
              </w:rPr>
            </w:pPr>
            <w:r w:rsidRPr="006A63AF">
              <w:rPr>
                <w:rFonts w:ascii="Garamond" w:hAnsi="Garamond"/>
              </w:rPr>
              <w:t>10.3%</w:t>
            </w:r>
          </w:p>
        </w:tc>
      </w:tr>
    </w:tbl>
    <w:p w:rsidR="00A8562B" w:rsidRPr="006A63AF" w:rsidRDefault="007941A2" w:rsidP="007941A2">
      <w:pPr>
        <w:pStyle w:val="Caption"/>
      </w:pPr>
      <w:r>
        <w:t xml:space="preserve">Figure </w:t>
      </w:r>
      <w:fldSimple w:instr=" SEQ Figure \* ARABIC ">
        <w:r w:rsidR="00707511">
          <w:rPr>
            <w:noProof/>
          </w:rPr>
          <w:t>6</w:t>
        </w:r>
      </w:fldSimple>
    </w:p>
    <w:p w:rsidR="00A8562B" w:rsidRDefault="00A8562B" w:rsidP="006A63AF">
      <w:pPr>
        <w:spacing w:line="240" w:lineRule="auto"/>
        <w:contextualSpacing/>
        <w:rPr>
          <w:b/>
          <w:color w:val="4E5612"/>
          <w:sz w:val="25"/>
        </w:rPr>
      </w:pPr>
      <w:r w:rsidRPr="00764386">
        <w:rPr>
          <w:b/>
          <w:color w:val="4E5612"/>
          <w:sz w:val="25"/>
        </w:rPr>
        <w:t xml:space="preserve">Housing Cost </w:t>
      </w:r>
      <w:proofErr w:type="gramStart"/>
      <w:r w:rsidRPr="00764386">
        <w:rPr>
          <w:b/>
          <w:color w:val="4E5612"/>
          <w:sz w:val="25"/>
        </w:rPr>
        <w:t>Without</w:t>
      </w:r>
      <w:proofErr w:type="gramEnd"/>
      <w:r w:rsidRPr="00764386">
        <w:rPr>
          <w:b/>
          <w:color w:val="4E5612"/>
          <w:sz w:val="25"/>
        </w:rPr>
        <w:t xml:space="preserve"> a Mortgage</w:t>
      </w:r>
    </w:p>
    <w:p w:rsidR="00355BC6" w:rsidRPr="00764386" w:rsidRDefault="00355BC6" w:rsidP="006A63AF">
      <w:pPr>
        <w:spacing w:line="240" w:lineRule="auto"/>
        <w:contextualSpacing/>
        <w:rPr>
          <w:b/>
          <w:color w:val="4E5612"/>
          <w:sz w:val="25"/>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618"/>
        <w:gridCol w:w="2766"/>
        <w:gridCol w:w="3192"/>
      </w:tblGrid>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Monthly Mortgage Cost</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Number of Units</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Percent of Total Units</w:t>
            </w:r>
          </w:p>
        </w:tc>
      </w:tr>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Less than $100</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0</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0.0%</w:t>
            </w:r>
          </w:p>
        </w:tc>
      </w:tr>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$100 to $199</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143</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8.2%</w:t>
            </w:r>
          </w:p>
        </w:tc>
      </w:tr>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$200 to $299</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562</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32.4%</w:t>
            </w:r>
          </w:p>
        </w:tc>
      </w:tr>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$300 to $399</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441</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25.4%</w:t>
            </w:r>
          </w:p>
        </w:tc>
      </w:tr>
      <w:tr w:rsidR="00A8562B" w:rsidRPr="006A63AF" w:rsidTr="001B6FFE">
        <w:tc>
          <w:tcPr>
            <w:tcW w:w="3618" w:type="dxa"/>
          </w:tcPr>
          <w:p w:rsidR="00A8562B" w:rsidRPr="006A63AF" w:rsidRDefault="00A8562B" w:rsidP="006A63AF">
            <w:pPr>
              <w:contextualSpacing/>
              <w:rPr>
                <w:rFonts w:ascii="Garamond" w:hAnsi="Garamond"/>
              </w:rPr>
            </w:pPr>
            <w:r w:rsidRPr="006A63AF">
              <w:rPr>
                <w:rFonts w:ascii="Garamond" w:hAnsi="Garamond"/>
              </w:rPr>
              <w:t>$400 to more</w:t>
            </w:r>
          </w:p>
        </w:tc>
        <w:tc>
          <w:tcPr>
            <w:tcW w:w="2766" w:type="dxa"/>
          </w:tcPr>
          <w:p w:rsidR="00A8562B" w:rsidRPr="006A63AF" w:rsidRDefault="00A8562B" w:rsidP="006A63AF">
            <w:pPr>
              <w:contextualSpacing/>
              <w:jc w:val="center"/>
              <w:rPr>
                <w:rFonts w:ascii="Garamond" w:hAnsi="Garamond"/>
              </w:rPr>
            </w:pPr>
            <w:r w:rsidRPr="006A63AF">
              <w:rPr>
                <w:rFonts w:ascii="Garamond" w:hAnsi="Garamond"/>
              </w:rPr>
              <w:t>590</w:t>
            </w:r>
          </w:p>
        </w:tc>
        <w:tc>
          <w:tcPr>
            <w:tcW w:w="3192" w:type="dxa"/>
          </w:tcPr>
          <w:p w:rsidR="00A8562B" w:rsidRPr="006A63AF" w:rsidRDefault="00A8562B" w:rsidP="007941A2">
            <w:pPr>
              <w:keepNext/>
              <w:contextualSpacing/>
              <w:jc w:val="center"/>
              <w:rPr>
                <w:rFonts w:ascii="Garamond" w:hAnsi="Garamond"/>
              </w:rPr>
            </w:pPr>
            <w:r w:rsidRPr="006A63AF">
              <w:rPr>
                <w:rFonts w:ascii="Garamond" w:hAnsi="Garamond"/>
              </w:rPr>
              <w:t>34.0%</w:t>
            </w:r>
          </w:p>
        </w:tc>
      </w:tr>
    </w:tbl>
    <w:p w:rsidR="00764386" w:rsidRDefault="007941A2" w:rsidP="007941A2">
      <w:pPr>
        <w:pStyle w:val="Caption"/>
        <w:rPr>
          <w:b w:val="0"/>
          <w:color w:val="4E5612"/>
          <w:sz w:val="25"/>
        </w:rPr>
      </w:pPr>
      <w:r>
        <w:t xml:space="preserve">Figure </w:t>
      </w:r>
      <w:fldSimple w:instr=" SEQ Figure \* ARABIC ">
        <w:r w:rsidR="00707511">
          <w:rPr>
            <w:noProof/>
          </w:rPr>
          <w:t>7</w:t>
        </w:r>
      </w:fldSimple>
    </w:p>
    <w:p w:rsidR="00A8562B" w:rsidRDefault="00A8562B" w:rsidP="006A63AF">
      <w:pPr>
        <w:spacing w:line="240" w:lineRule="auto"/>
        <w:contextualSpacing/>
        <w:rPr>
          <w:b/>
          <w:color w:val="4E5612"/>
          <w:sz w:val="25"/>
        </w:rPr>
      </w:pPr>
      <w:r w:rsidRPr="00764386">
        <w:rPr>
          <w:b/>
          <w:color w:val="4E5612"/>
          <w:sz w:val="25"/>
        </w:rPr>
        <w:t>Monthly Rental Costs</w:t>
      </w:r>
      <w:r w:rsidR="007941A2" w:rsidRPr="006A63AF">
        <w:rPr>
          <w:rStyle w:val="FootnoteReference"/>
        </w:rPr>
        <w:footnoteReference w:id="10"/>
      </w:r>
    </w:p>
    <w:p w:rsidR="00355BC6" w:rsidRPr="007941A2" w:rsidRDefault="00355BC6" w:rsidP="006A63AF">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92"/>
        <w:gridCol w:w="3192"/>
        <w:gridCol w:w="3192"/>
      </w:tblGrid>
      <w:tr w:rsidR="00A8562B" w:rsidRPr="006A63AF" w:rsidTr="001B6FFE">
        <w:tc>
          <w:tcPr>
            <w:tcW w:w="3192" w:type="dxa"/>
          </w:tcPr>
          <w:p w:rsidR="00A8562B" w:rsidRPr="006A63AF" w:rsidRDefault="00A8562B" w:rsidP="006A63AF">
            <w:pPr>
              <w:contextualSpacing/>
              <w:rPr>
                <w:rFonts w:ascii="Garamond" w:hAnsi="Garamond"/>
              </w:rPr>
            </w:pPr>
            <w:r w:rsidRPr="006A63AF">
              <w:rPr>
                <w:rFonts w:ascii="Garamond" w:hAnsi="Garamond"/>
              </w:rPr>
              <w:t>Rental Cost Per Month</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Number of Units</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Percentage of Total Units</w:t>
            </w:r>
          </w:p>
        </w:tc>
      </w:tr>
      <w:tr w:rsidR="00A8562B" w:rsidRPr="006A63AF" w:rsidTr="001B6FFE">
        <w:tc>
          <w:tcPr>
            <w:tcW w:w="3192" w:type="dxa"/>
          </w:tcPr>
          <w:p w:rsidR="00A8562B" w:rsidRPr="006A63AF" w:rsidRDefault="00A8562B" w:rsidP="006A63AF">
            <w:pPr>
              <w:contextualSpacing/>
              <w:rPr>
                <w:rFonts w:ascii="Garamond" w:hAnsi="Garamond"/>
              </w:rPr>
            </w:pPr>
            <w:r w:rsidRPr="006A63AF">
              <w:rPr>
                <w:rFonts w:ascii="Garamond" w:hAnsi="Garamond"/>
              </w:rPr>
              <w:t>Less than $200</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125</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2.7%</w:t>
            </w:r>
          </w:p>
        </w:tc>
      </w:tr>
      <w:tr w:rsidR="00A8562B" w:rsidRPr="006A63AF" w:rsidTr="001B6FFE">
        <w:tc>
          <w:tcPr>
            <w:tcW w:w="3192" w:type="dxa"/>
          </w:tcPr>
          <w:p w:rsidR="00A8562B" w:rsidRPr="006A63AF" w:rsidRDefault="00A8562B" w:rsidP="006A63AF">
            <w:pPr>
              <w:contextualSpacing/>
              <w:rPr>
                <w:rFonts w:ascii="Garamond" w:hAnsi="Garamond"/>
              </w:rPr>
            </w:pPr>
            <w:r w:rsidRPr="006A63AF">
              <w:rPr>
                <w:rFonts w:ascii="Garamond" w:hAnsi="Garamond"/>
              </w:rPr>
              <w:t>$200 to $299</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187</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4.1%</w:t>
            </w:r>
          </w:p>
        </w:tc>
      </w:tr>
      <w:tr w:rsidR="00A8562B" w:rsidRPr="006A63AF" w:rsidTr="001B6FFE">
        <w:tc>
          <w:tcPr>
            <w:tcW w:w="3192" w:type="dxa"/>
          </w:tcPr>
          <w:p w:rsidR="00A8562B" w:rsidRPr="006A63AF" w:rsidRDefault="00A8562B" w:rsidP="006A63AF">
            <w:pPr>
              <w:contextualSpacing/>
              <w:rPr>
                <w:rFonts w:ascii="Garamond" w:hAnsi="Garamond"/>
              </w:rPr>
            </w:pPr>
            <w:r w:rsidRPr="006A63AF">
              <w:rPr>
                <w:rFonts w:ascii="Garamond" w:hAnsi="Garamond"/>
              </w:rPr>
              <w:t>$300 to $499</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695</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15.3%</w:t>
            </w:r>
          </w:p>
        </w:tc>
      </w:tr>
      <w:tr w:rsidR="00A8562B" w:rsidRPr="006A63AF" w:rsidTr="001B6FFE">
        <w:tc>
          <w:tcPr>
            <w:tcW w:w="3192" w:type="dxa"/>
          </w:tcPr>
          <w:p w:rsidR="00A8562B" w:rsidRPr="006A63AF" w:rsidRDefault="00A8562B" w:rsidP="006A63AF">
            <w:pPr>
              <w:contextualSpacing/>
              <w:rPr>
                <w:rFonts w:ascii="Garamond" w:hAnsi="Garamond"/>
              </w:rPr>
            </w:pPr>
            <w:r w:rsidRPr="006A63AF">
              <w:rPr>
                <w:rFonts w:ascii="Garamond" w:hAnsi="Garamond"/>
              </w:rPr>
              <w:t>$500 to $749</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2,250</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49.5%</w:t>
            </w:r>
          </w:p>
        </w:tc>
      </w:tr>
      <w:tr w:rsidR="00A8562B" w:rsidRPr="006A63AF" w:rsidTr="001B6FFE">
        <w:tc>
          <w:tcPr>
            <w:tcW w:w="3192" w:type="dxa"/>
          </w:tcPr>
          <w:p w:rsidR="00A8562B" w:rsidRPr="006A63AF" w:rsidRDefault="00A8562B" w:rsidP="006A63AF">
            <w:pPr>
              <w:contextualSpacing/>
              <w:rPr>
                <w:rFonts w:ascii="Garamond" w:hAnsi="Garamond"/>
              </w:rPr>
            </w:pPr>
            <w:r w:rsidRPr="006A63AF">
              <w:rPr>
                <w:rFonts w:ascii="Garamond" w:hAnsi="Garamond"/>
              </w:rPr>
              <w:t>$750 to $999</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345</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7.6%</w:t>
            </w:r>
          </w:p>
        </w:tc>
      </w:tr>
      <w:tr w:rsidR="00A8562B" w:rsidRPr="006A63AF" w:rsidTr="001B6FFE">
        <w:tc>
          <w:tcPr>
            <w:tcW w:w="3192" w:type="dxa"/>
          </w:tcPr>
          <w:p w:rsidR="00A8562B" w:rsidRPr="006A63AF" w:rsidRDefault="00A8562B" w:rsidP="006A63AF">
            <w:pPr>
              <w:contextualSpacing/>
              <w:rPr>
                <w:rFonts w:ascii="Garamond" w:hAnsi="Garamond"/>
              </w:rPr>
            </w:pPr>
            <w:r w:rsidRPr="006A63AF">
              <w:rPr>
                <w:rFonts w:ascii="Garamond" w:hAnsi="Garamond"/>
              </w:rPr>
              <w:t>$1,000 to $1,499</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569</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12.5%</w:t>
            </w:r>
          </w:p>
        </w:tc>
      </w:tr>
      <w:tr w:rsidR="00A8562B" w:rsidRPr="006A63AF" w:rsidTr="001B6FFE">
        <w:tc>
          <w:tcPr>
            <w:tcW w:w="3192" w:type="dxa"/>
          </w:tcPr>
          <w:p w:rsidR="00A8562B" w:rsidRPr="006A63AF" w:rsidRDefault="00A8562B" w:rsidP="006A63AF">
            <w:pPr>
              <w:contextualSpacing/>
              <w:rPr>
                <w:rFonts w:ascii="Garamond" w:hAnsi="Garamond"/>
              </w:rPr>
            </w:pPr>
            <w:r w:rsidRPr="006A63AF">
              <w:rPr>
                <w:rFonts w:ascii="Garamond" w:hAnsi="Garamond"/>
              </w:rPr>
              <w:t>$1,500 or more</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378</w:t>
            </w:r>
          </w:p>
        </w:tc>
        <w:tc>
          <w:tcPr>
            <w:tcW w:w="3192" w:type="dxa"/>
          </w:tcPr>
          <w:p w:rsidR="00A8562B" w:rsidRPr="006A63AF" w:rsidRDefault="00A8562B" w:rsidP="007941A2">
            <w:pPr>
              <w:keepNext/>
              <w:contextualSpacing/>
              <w:jc w:val="center"/>
              <w:rPr>
                <w:rFonts w:ascii="Garamond" w:hAnsi="Garamond"/>
              </w:rPr>
            </w:pPr>
            <w:r w:rsidRPr="006A63AF">
              <w:rPr>
                <w:rFonts w:ascii="Garamond" w:hAnsi="Garamond"/>
              </w:rPr>
              <w:t>8.3%</w:t>
            </w:r>
          </w:p>
        </w:tc>
      </w:tr>
    </w:tbl>
    <w:p w:rsidR="007941A2" w:rsidRDefault="007941A2">
      <w:pPr>
        <w:pStyle w:val="Caption"/>
      </w:pPr>
      <w:r>
        <w:t xml:space="preserve">Figure </w:t>
      </w:r>
      <w:fldSimple w:instr=" SEQ Figure \* ARABIC ">
        <w:r w:rsidR="00707511">
          <w:rPr>
            <w:noProof/>
          </w:rPr>
          <w:t>8</w:t>
        </w:r>
      </w:fldSimple>
    </w:p>
    <w:p w:rsidR="00A8562B" w:rsidRPr="006A63AF" w:rsidRDefault="00A8562B" w:rsidP="006A63AF">
      <w:pPr>
        <w:spacing w:line="240" w:lineRule="auto"/>
        <w:contextualSpacing/>
      </w:pPr>
      <w:r w:rsidRPr="006A63AF">
        <w:t xml:space="preserve">While it is important to know how much people spend on housing each month, it is also very instructive to know what percentage of their income goes towards housing. The following tables show the percentage of income spent on housing in the following groups: houses with a mortgage, houses without a mortgage, and rental costs. </w:t>
      </w:r>
    </w:p>
    <w:p w:rsidR="00764386" w:rsidRDefault="00764386" w:rsidP="006A63AF">
      <w:pPr>
        <w:spacing w:line="240" w:lineRule="auto"/>
        <w:contextualSpacing/>
        <w:rPr>
          <w:b/>
          <w:color w:val="4E5612"/>
          <w:sz w:val="25"/>
        </w:rPr>
      </w:pPr>
    </w:p>
    <w:p w:rsidR="00713818" w:rsidRDefault="00A8562B" w:rsidP="006A63AF">
      <w:pPr>
        <w:spacing w:line="240" w:lineRule="auto"/>
        <w:contextualSpacing/>
        <w:rPr>
          <w:b/>
          <w:color w:val="4E5612"/>
          <w:sz w:val="25"/>
        </w:rPr>
      </w:pPr>
      <w:r w:rsidRPr="00764386">
        <w:rPr>
          <w:b/>
          <w:color w:val="4E5612"/>
          <w:sz w:val="25"/>
        </w:rPr>
        <w:t xml:space="preserve">Percentage of Income Spent on Housing </w:t>
      </w:r>
      <w:proofErr w:type="gramStart"/>
      <w:r w:rsidRPr="00764386">
        <w:rPr>
          <w:b/>
          <w:color w:val="4E5612"/>
          <w:sz w:val="25"/>
        </w:rPr>
        <w:t>With</w:t>
      </w:r>
      <w:proofErr w:type="gramEnd"/>
      <w:r w:rsidRPr="00764386">
        <w:rPr>
          <w:b/>
          <w:color w:val="4E5612"/>
          <w:sz w:val="25"/>
        </w:rPr>
        <w:t xml:space="preserve"> a Mortgage</w:t>
      </w:r>
    </w:p>
    <w:p w:rsidR="00A8562B" w:rsidRDefault="00A93140" w:rsidP="006A63AF">
      <w:pPr>
        <w:spacing w:line="240" w:lineRule="auto"/>
        <w:contextualSpacing/>
      </w:pPr>
      <w:r>
        <w:t>Of t</w:t>
      </w:r>
      <w:r w:rsidR="00713818">
        <w:t>hose with a mortgage in Madison County, 36.7% spend 30% or more of their income on housing costs.</w:t>
      </w:r>
    </w:p>
    <w:p w:rsidR="00355BC6" w:rsidRPr="00713818" w:rsidRDefault="00355BC6" w:rsidP="006A63AF">
      <w:pPr>
        <w:spacing w:line="240" w:lineRule="auto"/>
        <w:contextualSpacing/>
        <w:rPr>
          <w:color w:val="4E561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38"/>
        <w:gridCol w:w="2946"/>
        <w:gridCol w:w="3192"/>
      </w:tblGrid>
      <w:tr w:rsidR="00A8562B" w:rsidRPr="006A63AF" w:rsidTr="001B6FFE">
        <w:tc>
          <w:tcPr>
            <w:tcW w:w="3438" w:type="dxa"/>
          </w:tcPr>
          <w:p w:rsidR="00A8562B" w:rsidRPr="006A63AF" w:rsidRDefault="00A8562B" w:rsidP="006A63AF">
            <w:pPr>
              <w:contextualSpacing/>
              <w:rPr>
                <w:rFonts w:ascii="Garamond" w:hAnsi="Garamond"/>
                <w:b/>
              </w:rPr>
            </w:pPr>
            <w:r w:rsidRPr="006A63AF">
              <w:rPr>
                <w:rFonts w:ascii="Garamond" w:hAnsi="Garamond"/>
                <w:b/>
              </w:rPr>
              <w:lastRenderedPageBreak/>
              <w:t xml:space="preserve">Monthly Percentage of Income </w:t>
            </w:r>
          </w:p>
        </w:tc>
        <w:tc>
          <w:tcPr>
            <w:tcW w:w="2946" w:type="dxa"/>
          </w:tcPr>
          <w:p w:rsidR="00A8562B" w:rsidRPr="006A63AF" w:rsidRDefault="00A8562B" w:rsidP="006A63AF">
            <w:pPr>
              <w:contextualSpacing/>
              <w:jc w:val="center"/>
              <w:rPr>
                <w:rFonts w:ascii="Garamond" w:hAnsi="Garamond"/>
                <w:b/>
              </w:rPr>
            </w:pPr>
            <w:r w:rsidRPr="006A63AF">
              <w:rPr>
                <w:rFonts w:ascii="Garamond" w:hAnsi="Garamond"/>
                <w:b/>
              </w:rPr>
              <w:t>Number of Units</w:t>
            </w:r>
          </w:p>
        </w:tc>
        <w:tc>
          <w:tcPr>
            <w:tcW w:w="3192" w:type="dxa"/>
          </w:tcPr>
          <w:p w:rsidR="00A8562B" w:rsidRPr="006A63AF" w:rsidRDefault="00A8562B" w:rsidP="006A63AF">
            <w:pPr>
              <w:contextualSpacing/>
              <w:jc w:val="center"/>
              <w:rPr>
                <w:rFonts w:ascii="Garamond" w:hAnsi="Garamond"/>
                <w:b/>
              </w:rPr>
            </w:pPr>
            <w:r w:rsidRPr="006A63AF">
              <w:rPr>
                <w:rFonts w:ascii="Garamond" w:hAnsi="Garamond"/>
                <w:b/>
              </w:rPr>
              <w:t>Percentage of Total Units</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Less than 20.0%</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1,151</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33.5%</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20.0 to 24.9%</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567</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16.5%</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25.0 to 29.9%</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455</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13.3%</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30.0 to 34.9%</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303</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8.8%</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35.0% or more</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956</w:t>
            </w:r>
          </w:p>
        </w:tc>
        <w:tc>
          <w:tcPr>
            <w:tcW w:w="3192" w:type="dxa"/>
          </w:tcPr>
          <w:p w:rsidR="00A8562B" w:rsidRPr="006A63AF" w:rsidRDefault="00A8562B" w:rsidP="007941A2">
            <w:pPr>
              <w:keepNext/>
              <w:contextualSpacing/>
              <w:jc w:val="center"/>
              <w:rPr>
                <w:rFonts w:ascii="Garamond" w:hAnsi="Garamond"/>
              </w:rPr>
            </w:pPr>
            <w:r w:rsidRPr="006A63AF">
              <w:rPr>
                <w:rFonts w:ascii="Garamond" w:hAnsi="Garamond"/>
              </w:rPr>
              <w:t>27.9%</w:t>
            </w:r>
          </w:p>
        </w:tc>
      </w:tr>
    </w:tbl>
    <w:p w:rsidR="00764386" w:rsidRDefault="007941A2" w:rsidP="007941A2">
      <w:pPr>
        <w:pStyle w:val="Caption"/>
        <w:rPr>
          <w:b w:val="0"/>
          <w:color w:val="4E5612"/>
          <w:sz w:val="25"/>
        </w:rPr>
      </w:pPr>
      <w:r>
        <w:t xml:space="preserve">Figure </w:t>
      </w:r>
      <w:fldSimple w:instr=" SEQ Figure \* ARABIC ">
        <w:r w:rsidR="00707511">
          <w:rPr>
            <w:noProof/>
          </w:rPr>
          <w:t>9</w:t>
        </w:r>
      </w:fldSimple>
    </w:p>
    <w:p w:rsidR="00A8562B" w:rsidRDefault="00A8562B" w:rsidP="006A63AF">
      <w:pPr>
        <w:spacing w:line="240" w:lineRule="auto"/>
        <w:contextualSpacing/>
        <w:rPr>
          <w:b/>
          <w:color w:val="4E5612"/>
          <w:sz w:val="25"/>
        </w:rPr>
      </w:pPr>
      <w:r w:rsidRPr="00764386">
        <w:rPr>
          <w:b/>
          <w:color w:val="4E5612"/>
          <w:sz w:val="25"/>
        </w:rPr>
        <w:t xml:space="preserve">Percentage of Income Spent on Housing </w:t>
      </w:r>
      <w:proofErr w:type="gramStart"/>
      <w:r w:rsidRPr="00764386">
        <w:rPr>
          <w:b/>
          <w:color w:val="4E5612"/>
          <w:sz w:val="25"/>
        </w:rPr>
        <w:t>Without</w:t>
      </w:r>
      <w:proofErr w:type="gramEnd"/>
      <w:r w:rsidRPr="00764386">
        <w:rPr>
          <w:b/>
          <w:color w:val="4E5612"/>
          <w:sz w:val="25"/>
        </w:rPr>
        <w:t xml:space="preserve"> a Mortgage</w:t>
      </w:r>
    </w:p>
    <w:p w:rsidR="00355BC6" w:rsidRPr="00764386" w:rsidRDefault="00355BC6" w:rsidP="006A63AF">
      <w:pPr>
        <w:spacing w:line="240" w:lineRule="auto"/>
        <w:contextualSpacing/>
        <w:rPr>
          <w:b/>
          <w:color w:val="4E5612"/>
          <w:sz w:val="25"/>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38"/>
        <w:gridCol w:w="2946"/>
        <w:gridCol w:w="3192"/>
      </w:tblGrid>
      <w:tr w:rsidR="00A8562B" w:rsidRPr="006A63AF" w:rsidTr="001B6FFE">
        <w:tc>
          <w:tcPr>
            <w:tcW w:w="3438" w:type="dxa"/>
          </w:tcPr>
          <w:p w:rsidR="00A8562B" w:rsidRPr="006A63AF" w:rsidRDefault="00A8562B" w:rsidP="006A63AF">
            <w:pPr>
              <w:contextualSpacing/>
              <w:jc w:val="center"/>
              <w:rPr>
                <w:rFonts w:ascii="Garamond" w:hAnsi="Garamond"/>
                <w:b/>
              </w:rPr>
            </w:pPr>
            <w:r w:rsidRPr="006A63AF">
              <w:rPr>
                <w:rFonts w:ascii="Garamond" w:hAnsi="Garamond"/>
                <w:b/>
              </w:rPr>
              <w:t>Monthly Percentage of Income</w:t>
            </w:r>
          </w:p>
        </w:tc>
        <w:tc>
          <w:tcPr>
            <w:tcW w:w="2946" w:type="dxa"/>
          </w:tcPr>
          <w:p w:rsidR="00A8562B" w:rsidRPr="006A63AF" w:rsidRDefault="00A8562B" w:rsidP="006A63AF">
            <w:pPr>
              <w:contextualSpacing/>
              <w:jc w:val="center"/>
              <w:rPr>
                <w:rFonts w:ascii="Garamond" w:hAnsi="Garamond"/>
                <w:b/>
              </w:rPr>
            </w:pPr>
            <w:r w:rsidRPr="006A63AF">
              <w:rPr>
                <w:rFonts w:ascii="Garamond" w:hAnsi="Garamond"/>
                <w:b/>
              </w:rPr>
              <w:t>Number of Units</w:t>
            </w:r>
          </w:p>
        </w:tc>
        <w:tc>
          <w:tcPr>
            <w:tcW w:w="3192" w:type="dxa"/>
          </w:tcPr>
          <w:p w:rsidR="00A8562B" w:rsidRPr="006A63AF" w:rsidRDefault="00A8562B" w:rsidP="006A63AF">
            <w:pPr>
              <w:contextualSpacing/>
              <w:jc w:val="center"/>
              <w:rPr>
                <w:rFonts w:ascii="Garamond" w:hAnsi="Garamond"/>
                <w:b/>
              </w:rPr>
            </w:pPr>
            <w:r w:rsidRPr="006A63AF">
              <w:rPr>
                <w:rFonts w:ascii="Garamond" w:hAnsi="Garamond"/>
                <w:b/>
              </w:rPr>
              <w:t>Percentage of Total Units</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Less than 10.0%</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964</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55.9%</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10.0 to 14.9%</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404</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23.4%</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15.0 to 19.9%</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159</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9.2%</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20.0 to 24.9%</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76</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4.4%</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25.0 to 29.9%</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30</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1.7%</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30.0 to 34.9%</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0</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0.0%</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35.0% or more</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91</w:t>
            </w:r>
          </w:p>
        </w:tc>
        <w:tc>
          <w:tcPr>
            <w:tcW w:w="3192" w:type="dxa"/>
          </w:tcPr>
          <w:p w:rsidR="00A8562B" w:rsidRPr="006A63AF" w:rsidRDefault="00A8562B" w:rsidP="007941A2">
            <w:pPr>
              <w:keepNext/>
              <w:contextualSpacing/>
              <w:jc w:val="center"/>
              <w:rPr>
                <w:rFonts w:ascii="Garamond" w:hAnsi="Garamond"/>
              </w:rPr>
            </w:pPr>
            <w:r w:rsidRPr="006A63AF">
              <w:rPr>
                <w:rFonts w:ascii="Garamond" w:hAnsi="Garamond"/>
              </w:rPr>
              <w:t>5.3%</w:t>
            </w:r>
          </w:p>
        </w:tc>
      </w:tr>
    </w:tbl>
    <w:p w:rsidR="00A8562B" w:rsidRPr="006A63AF" w:rsidRDefault="007941A2" w:rsidP="007941A2">
      <w:pPr>
        <w:pStyle w:val="Caption"/>
      </w:pPr>
      <w:r>
        <w:t xml:space="preserve">Figure </w:t>
      </w:r>
      <w:fldSimple w:instr=" SEQ Figure \* ARABIC ">
        <w:r w:rsidR="00707511">
          <w:rPr>
            <w:noProof/>
          </w:rPr>
          <w:t>10</w:t>
        </w:r>
      </w:fldSimple>
    </w:p>
    <w:p w:rsidR="00BC10AC" w:rsidRDefault="00A8562B" w:rsidP="006A63AF">
      <w:pPr>
        <w:spacing w:line="240" w:lineRule="auto"/>
        <w:contextualSpacing/>
        <w:rPr>
          <w:b/>
          <w:color w:val="4E5612"/>
          <w:sz w:val="25"/>
        </w:rPr>
      </w:pPr>
      <w:r w:rsidRPr="00764386">
        <w:rPr>
          <w:b/>
          <w:color w:val="4E5612"/>
          <w:sz w:val="25"/>
        </w:rPr>
        <w:t>Percentage of Income Spent on Rental Housing</w:t>
      </w:r>
    </w:p>
    <w:p w:rsidR="00A8562B" w:rsidRDefault="00BC10AC" w:rsidP="006A63AF">
      <w:pPr>
        <w:spacing w:line="240" w:lineRule="auto"/>
        <w:contextualSpacing/>
      </w:pPr>
      <w:r w:rsidRPr="006A63AF">
        <w:t>In Madison County, 65% of the rental population spends more than 30% of their household income on housing costs.</w:t>
      </w:r>
      <w:r w:rsidRPr="006A63AF">
        <w:rPr>
          <w:rStyle w:val="FootnoteReference"/>
        </w:rPr>
        <w:footnoteReference w:id="11"/>
      </w:r>
      <w:r w:rsidRPr="006A63AF">
        <w:t xml:space="preserve"> </w:t>
      </w:r>
      <w:r w:rsidR="001576A7">
        <w:t>Figure 11 shows the full breakdown of the percentages spent on housing.</w:t>
      </w:r>
    </w:p>
    <w:p w:rsidR="00355BC6" w:rsidRPr="00BC10AC" w:rsidRDefault="00355BC6" w:rsidP="006A63AF">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38"/>
        <w:gridCol w:w="2946"/>
        <w:gridCol w:w="3192"/>
      </w:tblGrid>
      <w:tr w:rsidR="00A8562B" w:rsidRPr="006A63AF" w:rsidTr="001B6FFE">
        <w:tc>
          <w:tcPr>
            <w:tcW w:w="3438" w:type="dxa"/>
          </w:tcPr>
          <w:p w:rsidR="00A8562B" w:rsidRPr="006A63AF" w:rsidRDefault="00A8562B" w:rsidP="006A63AF">
            <w:pPr>
              <w:contextualSpacing/>
              <w:rPr>
                <w:rFonts w:ascii="Garamond" w:hAnsi="Garamond"/>
                <w:b/>
              </w:rPr>
            </w:pPr>
            <w:r w:rsidRPr="006A63AF">
              <w:rPr>
                <w:rFonts w:ascii="Garamond" w:hAnsi="Garamond"/>
                <w:b/>
              </w:rPr>
              <w:t>Monthly Percentage of Income</w:t>
            </w:r>
          </w:p>
        </w:tc>
        <w:tc>
          <w:tcPr>
            <w:tcW w:w="2946" w:type="dxa"/>
          </w:tcPr>
          <w:p w:rsidR="00A8562B" w:rsidRPr="006A63AF" w:rsidRDefault="00A8562B" w:rsidP="006A63AF">
            <w:pPr>
              <w:contextualSpacing/>
              <w:jc w:val="center"/>
              <w:rPr>
                <w:rFonts w:ascii="Garamond" w:hAnsi="Garamond"/>
                <w:b/>
              </w:rPr>
            </w:pPr>
            <w:r w:rsidRPr="006A63AF">
              <w:rPr>
                <w:rFonts w:ascii="Garamond" w:hAnsi="Garamond"/>
                <w:b/>
              </w:rPr>
              <w:t>Number of Units</w:t>
            </w:r>
          </w:p>
        </w:tc>
        <w:tc>
          <w:tcPr>
            <w:tcW w:w="3192" w:type="dxa"/>
          </w:tcPr>
          <w:p w:rsidR="00A8562B" w:rsidRPr="006A63AF" w:rsidRDefault="00A8562B" w:rsidP="006A63AF">
            <w:pPr>
              <w:contextualSpacing/>
              <w:jc w:val="center"/>
              <w:rPr>
                <w:rFonts w:ascii="Garamond" w:hAnsi="Garamond"/>
                <w:b/>
              </w:rPr>
            </w:pPr>
            <w:r w:rsidRPr="006A63AF">
              <w:rPr>
                <w:rFonts w:ascii="Garamond" w:hAnsi="Garamond"/>
                <w:b/>
              </w:rPr>
              <w:t>Percentage of Total Units</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Less than 15.0%</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556</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12.2%</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15.0 to 19.9%</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342</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7.5%</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20.0 to 24.9%</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364</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8.0%</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25.0 to 29.9%</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331</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7.3%</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30.0 to 34.9%</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551</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12.1%</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35.0% or more</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2,405</w:t>
            </w:r>
          </w:p>
        </w:tc>
        <w:tc>
          <w:tcPr>
            <w:tcW w:w="3192" w:type="dxa"/>
          </w:tcPr>
          <w:p w:rsidR="00A8562B" w:rsidRPr="006A63AF" w:rsidRDefault="00A8562B" w:rsidP="006A63AF">
            <w:pPr>
              <w:contextualSpacing/>
              <w:jc w:val="center"/>
              <w:rPr>
                <w:rFonts w:ascii="Garamond" w:hAnsi="Garamond"/>
              </w:rPr>
            </w:pPr>
            <w:r w:rsidRPr="006A63AF">
              <w:rPr>
                <w:rFonts w:ascii="Garamond" w:hAnsi="Garamond"/>
              </w:rPr>
              <w:t>52.9%</w:t>
            </w:r>
          </w:p>
        </w:tc>
      </w:tr>
      <w:tr w:rsidR="00A8562B" w:rsidRPr="006A63AF" w:rsidTr="001B6FFE">
        <w:tc>
          <w:tcPr>
            <w:tcW w:w="3438" w:type="dxa"/>
          </w:tcPr>
          <w:p w:rsidR="00A8562B" w:rsidRPr="006A63AF" w:rsidRDefault="00A8562B" w:rsidP="006A63AF">
            <w:pPr>
              <w:contextualSpacing/>
              <w:rPr>
                <w:rFonts w:ascii="Garamond" w:hAnsi="Garamond"/>
              </w:rPr>
            </w:pPr>
            <w:r w:rsidRPr="006A63AF">
              <w:rPr>
                <w:rFonts w:ascii="Garamond" w:hAnsi="Garamond"/>
              </w:rPr>
              <w:t>Not Computed</w:t>
            </w:r>
          </w:p>
        </w:tc>
        <w:tc>
          <w:tcPr>
            <w:tcW w:w="2946" w:type="dxa"/>
          </w:tcPr>
          <w:p w:rsidR="00A8562B" w:rsidRPr="006A63AF" w:rsidRDefault="00A8562B" w:rsidP="006A63AF">
            <w:pPr>
              <w:contextualSpacing/>
              <w:jc w:val="center"/>
              <w:rPr>
                <w:rFonts w:ascii="Garamond" w:hAnsi="Garamond"/>
              </w:rPr>
            </w:pPr>
            <w:r w:rsidRPr="006A63AF">
              <w:rPr>
                <w:rFonts w:ascii="Garamond" w:hAnsi="Garamond"/>
              </w:rPr>
              <w:t>301</w:t>
            </w:r>
          </w:p>
        </w:tc>
        <w:tc>
          <w:tcPr>
            <w:tcW w:w="3192" w:type="dxa"/>
          </w:tcPr>
          <w:p w:rsidR="00A8562B" w:rsidRPr="006A63AF" w:rsidRDefault="00A8562B" w:rsidP="007941A2">
            <w:pPr>
              <w:keepNext/>
              <w:contextualSpacing/>
              <w:jc w:val="center"/>
              <w:rPr>
                <w:rFonts w:ascii="Garamond" w:hAnsi="Garamond"/>
              </w:rPr>
            </w:pPr>
            <w:r w:rsidRPr="006A63AF">
              <w:rPr>
                <w:rFonts w:ascii="Garamond" w:hAnsi="Garamond"/>
              </w:rPr>
              <w:t>6.6%</w:t>
            </w:r>
          </w:p>
        </w:tc>
      </w:tr>
    </w:tbl>
    <w:p w:rsidR="00A8562B" w:rsidRPr="006A63AF" w:rsidRDefault="007941A2" w:rsidP="007941A2">
      <w:pPr>
        <w:pStyle w:val="Caption"/>
      </w:pPr>
      <w:r>
        <w:t xml:space="preserve">Figure </w:t>
      </w:r>
      <w:fldSimple w:instr=" SEQ Figure \* ARABIC ">
        <w:r w:rsidR="00707511">
          <w:rPr>
            <w:noProof/>
          </w:rPr>
          <w:t>11</w:t>
        </w:r>
      </w:fldSimple>
    </w:p>
    <w:p w:rsidR="00A8562B" w:rsidRPr="00764386" w:rsidRDefault="00A8562B" w:rsidP="006A63AF">
      <w:pPr>
        <w:spacing w:line="240" w:lineRule="auto"/>
        <w:contextualSpacing/>
        <w:rPr>
          <w:b/>
          <w:color w:val="4E5612"/>
          <w:sz w:val="25"/>
        </w:rPr>
      </w:pPr>
      <w:r w:rsidRPr="00764386">
        <w:rPr>
          <w:b/>
          <w:color w:val="4E5612"/>
          <w:sz w:val="25"/>
        </w:rPr>
        <w:t>Available Housing</w:t>
      </w:r>
    </w:p>
    <w:p w:rsidR="00A8562B" w:rsidRPr="006A63AF" w:rsidRDefault="00A8562B" w:rsidP="006A63AF">
      <w:pPr>
        <w:spacing w:line="240" w:lineRule="auto"/>
        <w:contextualSpacing/>
      </w:pPr>
      <w:r w:rsidRPr="006A63AF">
        <w:t>As of 2010, Madison County had 10,611 occupied housing units. Of these units, 5,119, or 48.2% are owner occupied, and 5,492, or 51.8% are renter occupied. Conversely, there were 669 vacant housing units in 2010. Most of these houses are either rentals or for sale.</w:t>
      </w:r>
      <w:r w:rsidRPr="006A63AF">
        <w:rPr>
          <w:rStyle w:val="FootnoteReference"/>
        </w:rPr>
        <w:footnoteReference w:id="12"/>
      </w:r>
      <w:r w:rsidRPr="006A63AF">
        <w:t xml:space="preserve"> </w:t>
      </w:r>
    </w:p>
    <w:p w:rsidR="00B864AC" w:rsidRDefault="00B864AC" w:rsidP="006A63AF">
      <w:pPr>
        <w:spacing w:line="240" w:lineRule="auto"/>
        <w:contextualSpacing/>
      </w:pPr>
    </w:p>
    <w:p w:rsidR="00A8562B" w:rsidRPr="00AA2CEB" w:rsidRDefault="00A8562B" w:rsidP="00AA2CEB">
      <w:pPr>
        <w:spacing w:line="240" w:lineRule="auto"/>
        <w:contextualSpacing/>
      </w:pPr>
      <w:r w:rsidRPr="006A63AF">
        <w:t xml:space="preserve">According to the Snake River Multiple Listing Service, the average listing price in Madison County is $234,933. There are a few outliers in the upper </w:t>
      </w:r>
      <w:r w:rsidR="00DA5328">
        <w:t xml:space="preserve">segment </w:t>
      </w:r>
      <w:r w:rsidRPr="006A63AF">
        <w:t>of the listings that skew the mean price. The median listing price is $199,000. The average number of bedrooms in these homes is 4.29.</w:t>
      </w:r>
      <w:r w:rsidRPr="006A63AF">
        <w:rPr>
          <w:rStyle w:val="FootnoteReference"/>
        </w:rPr>
        <w:footnoteReference w:id="13"/>
      </w:r>
    </w:p>
    <w:p w:rsidR="00A8562B" w:rsidRPr="006A63AF" w:rsidRDefault="00A8562B" w:rsidP="006A63AF">
      <w:pPr>
        <w:pStyle w:val="Heading2"/>
        <w:spacing w:line="240" w:lineRule="auto"/>
        <w:contextualSpacing/>
      </w:pPr>
      <w:bookmarkStart w:id="6" w:name="_Toc329954133"/>
      <w:r w:rsidRPr="006A63AF">
        <w:lastRenderedPageBreak/>
        <w:t>Fremont County</w:t>
      </w:r>
      <w:bookmarkEnd w:id="6"/>
    </w:p>
    <w:p w:rsidR="00764386" w:rsidRDefault="00764386"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Population</w:t>
      </w:r>
    </w:p>
    <w:p w:rsidR="00A8562B" w:rsidRPr="006A63AF" w:rsidRDefault="00A8562B" w:rsidP="006A63AF">
      <w:pPr>
        <w:spacing w:line="240" w:lineRule="auto"/>
        <w:contextualSpacing/>
      </w:pPr>
      <w:r w:rsidRPr="006A63AF">
        <w:t>According to the 2010 United Census report, Fremont County, Idaho had a population of 13,242. Since the year 2000, Fremont County’s population has grown 12.0%.  The percent change of private nonfarm employment from 2000 to 2009 was -2.8%.  This is an alarming employment statistic for Fremont Country given that</w:t>
      </w:r>
      <w:r w:rsidR="00670D54">
        <w:t xml:space="preserve"> the state of</w:t>
      </w:r>
      <w:r w:rsidRPr="006A63AF">
        <w:t xml:space="preserve"> Idaho saw an increase of 11.0%.</w:t>
      </w:r>
      <w:r w:rsidRPr="006A63AF">
        <w:rPr>
          <w:rStyle w:val="FootnoteReference"/>
        </w:rPr>
        <w:footnoteReference w:id="14"/>
      </w:r>
    </w:p>
    <w:p w:rsidR="00764386" w:rsidRDefault="00764386"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Age</w:t>
      </w:r>
    </w:p>
    <w:p w:rsidR="00A8562B" w:rsidRPr="006A63AF" w:rsidRDefault="00A8562B" w:rsidP="006A63AF">
      <w:pPr>
        <w:spacing w:line="240" w:lineRule="auto"/>
        <w:contextualSpacing/>
      </w:pPr>
      <w:r w:rsidRPr="006A63AF">
        <w:t xml:space="preserve">In the 2010 Census report, Fremont County had a median age of 33.5 years. </w:t>
      </w:r>
      <w:r w:rsidR="001576A7">
        <w:t>Figure 12 shows</w:t>
      </w:r>
      <w:r w:rsidRPr="006A63AF">
        <w:t xml:space="preserve"> the age breakdown of the county population. There appears to be a high percentage of the population 19 and under. </w:t>
      </w:r>
      <w:r w:rsidRPr="006A63AF">
        <w:rPr>
          <w:rStyle w:val="FootnoteReference"/>
        </w:rPr>
        <w:footnoteReference w:id="15"/>
      </w:r>
    </w:p>
    <w:tbl>
      <w:tblPr>
        <w:tblW w:w="2120" w:type="dxa"/>
        <w:jc w:val="center"/>
        <w:tblInd w:w="2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060"/>
      </w:tblGrid>
      <w:tr w:rsidR="00A8562B" w:rsidRPr="006A63AF" w:rsidTr="001B6FFE">
        <w:trPr>
          <w:trHeight w:val="240"/>
          <w:jc w:val="center"/>
        </w:trPr>
        <w:tc>
          <w:tcPr>
            <w:tcW w:w="2120" w:type="dxa"/>
            <w:gridSpan w:val="2"/>
            <w:shd w:val="clear" w:color="auto" w:fill="auto"/>
            <w:noWrap/>
            <w:vAlign w:val="bottom"/>
          </w:tcPr>
          <w:p w:rsidR="00A8562B" w:rsidRPr="006A63AF" w:rsidRDefault="00A8562B" w:rsidP="006A63AF">
            <w:pPr>
              <w:spacing w:line="240" w:lineRule="auto"/>
              <w:contextualSpacing/>
              <w:jc w:val="center"/>
              <w:rPr>
                <w:sz w:val="20"/>
                <w:szCs w:val="20"/>
              </w:rPr>
            </w:pPr>
            <w:r w:rsidRPr="006A63AF">
              <w:rPr>
                <w:sz w:val="20"/>
                <w:szCs w:val="20"/>
              </w:rPr>
              <w:t>Madison County</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 w:val="20"/>
                <w:szCs w:val="20"/>
              </w:rPr>
            </w:pPr>
            <w:r w:rsidRPr="006A63AF">
              <w:rPr>
                <w:sz w:val="20"/>
                <w:szCs w:val="20"/>
              </w:rPr>
              <w:t>Age</w:t>
            </w:r>
          </w:p>
        </w:tc>
        <w:tc>
          <w:tcPr>
            <w:tcW w:w="1060" w:type="dxa"/>
            <w:shd w:val="clear" w:color="auto" w:fill="auto"/>
            <w:noWrap/>
            <w:vAlign w:val="bottom"/>
          </w:tcPr>
          <w:p w:rsidR="00A8562B" w:rsidRPr="006A63AF" w:rsidRDefault="00A8562B" w:rsidP="006A63AF">
            <w:pPr>
              <w:spacing w:line="240" w:lineRule="auto"/>
              <w:contextualSpacing/>
              <w:rPr>
                <w:sz w:val="20"/>
                <w:szCs w:val="20"/>
              </w:rPr>
            </w:pPr>
            <w:r w:rsidRPr="006A63AF">
              <w:rPr>
                <w:sz w:val="20"/>
                <w:szCs w:val="20"/>
              </w:rPr>
              <w:t>Number</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 w:val="20"/>
                <w:szCs w:val="20"/>
              </w:rPr>
            </w:pPr>
            <w:r w:rsidRPr="006A63AF">
              <w:rPr>
                <w:sz w:val="20"/>
                <w:szCs w:val="20"/>
              </w:rPr>
              <w:t>Under 9</w:t>
            </w:r>
          </w:p>
        </w:tc>
        <w:tc>
          <w:tcPr>
            <w:tcW w:w="1060" w:type="dxa"/>
            <w:shd w:val="clear" w:color="auto" w:fill="auto"/>
            <w:noWrap/>
            <w:vAlign w:val="bottom"/>
          </w:tcPr>
          <w:p w:rsidR="00A8562B" w:rsidRPr="006A63AF" w:rsidRDefault="00A8562B" w:rsidP="006A63AF">
            <w:pPr>
              <w:spacing w:line="240" w:lineRule="auto"/>
              <w:contextualSpacing/>
              <w:jc w:val="right"/>
              <w:rPr>
                <w:sz w:val="20"/>
                <w:szCs w:val="20"/>
              </w:rPr>
            </w:pPr>
            <w:r w:rsidRPr="006A63AF">
              <w:rPr>
                <w:sz w:val="20"/>
                <w:szCs w:val="20"/>
              </w:rPr>
              <w:t>2,315</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 w:val="20"/>
                <w:szCs w:val="20"/>
              </w:rPr>
            </w:pPr>
            <w:r w:rsidRPr="006A63AF">
              <w:rPr>
                <w:sz w:val="20"/>
                <w:szCs w:val="20"/>
              </w:rPr>
              <w:t>10-19</w:t>
            </w:r>
          </w:p>
        </w:tc>
        <w:tc>
          <w:tcPr>
            <w:tcW w:w="1060" w:type="dxa"/>
            <w:shd w:val="clear" w:color="auto" w:fill="auto"/>
            <w:noWrap/>
            <w:vAlign w:val="bottom"/>
          </w:tcPr>
          <w:p w:rsidR="00A8562B" w:rsidRPr="006A63AF" w:rsidRDefault="00A8562B" w:rsidP="006A63AF">
            <w:pPr>
              <w:spacing w:line="240" w:lineRule="auto"/>
              <w:contextualSpacing/>
              <w:jc w:val="right"/>
              <w:rPr>
                <w:sz w:val="20"/>
                <w:szCs w:val="20"/>
              </w:rPr>
            </w:pPr>
            <w:r w:rsidRPr="006A63AF">
              <w:rPr>
                <w:sz w:val="20"/>
                <w:szCs w:val="20"/>
              </w:rPr>
              <w:t>2,174</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 w:val="20"/>
                <w:szCs w:val="20"/>
              </w:rPr>
            </w:pPr>
            <w:r w:rsidRPr="006A63AF">
              <w:rPr>
                <w:sz w:val="20"/>
                <w:szCs w:val="20"/>
              </w:rPr>
              <w:t>20-29</w:t>
            </w:r>
          </w:p>
        </w:tc>
        <w:tc>
          <w:tcPr>
            <w:tcW w:w="1060" w:type="dxa"/>
            <w:shd w:val="clear" w:color="auto" w:fill="auto"/>
            <w:noWrap/>
            <w:vAlign w:val="bottom"/>
          </w:tcPr>
          <w:p w:rsidR="00A8562B" w:rsidRPr="006A63AF" w:rsidRDefault="00A8562B" w:rsidP="006A63AF">
            <w:pPr>
              <w:spacing w:line="240" w:lineRule="auto"/>
              <w:contextualSpacing/>
              <w:jc w:val="right"/>
              <w:rPr>
                <w:sz w:val="20"/>
                <w:szCs w:val="20"/>
              </w:rPr>
            </w:pPr>
            <w:r w:rsidRPr="006A63AF">
              <w:rPr>
                <w:sz w:val="20"/>
                <w:szCs w:val="20"/>
              </w:rPr>
              <w:t>1,548</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 w:val="20"/>
                <w:szCs w:val="20"/>
              </w:rPr>
            </w:pPr>
            <w:r w:rsidRPr="006A63AF">
              <w:rPr>
                <w:sz w:val="20"/>
                <w:szCs w:val="20"/>
              </w:rPr>
              <w:t>30-39</w:t>
            </w:r>
          </w:p>
        </w:tc>
        <w:tc>
          <w:tcPr>
            <w:tcW w:w="1060" w:type="dxa"/>
            <w:shd w:val="clear" w:color="auto" w:fill="auto"/>
            <w:noWrap/>
            <w:vAlign w:val="bottom"/>
          </w:tcPr>
          <w:p w:rsidR="00A8562B" w:rsidRPr="006A63AF" w:rsidRDefault="00A8562B" w:rsidP="006A63AF">
            <w:pPr>
              <w:spacing w:line="240" w:lineRule="auto"/>
              <w:contextualSpacing/>
              <w:jc w:val="right"/>
              <w:rPr>
                <w:sz w:val="20"/>
                <w:szCs w:val="20"/>
              </w:rPr>
            </w:pPr>
            <w:r w:rsidRPr="006A63AF">
              <w:rPr>
                <w:sz w:val="20"/>
                <w:szCs w:val="20"/>
              </w:rPr>
              <w:t>1,511</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 w:val="20"/>
                <w:szCs w:val="20"/>
              </w:rPr>
            </w:pPr>
            <w:r w:rsidRPr="006A63AF">
              <w:rPr>
                <w:sz w:val="20"/>
                <w:szCs w:val="20"/>
              </w:rPr>
              <w:t>40-49</w:t>
            </w:r>
          </w:p>
        </w:tc>
        <w:tc>
          <w:tcPr>
            <w:tcW w:w="1060" w:type="dxa"/>
            <w:shd w:val="clear" w:color="auto" w:fill="auto"/>
            <w:noWrap/>
            <w:vAlign w:val="bottom"/>
          </w:tcPr>
          <w:p w:rsidR="00A8562B" w:rsidRPr="006A63AF" w:rsidRDefault="00A8562B" w:rsidP="006A63AF">
            <w:pPr>
              <w:spacing w:line="240" w:lineRule="auto"/>
              <w:contextualSpacing/>
              <w:jc w:val="right"/>
              <w:rPr>
                <w:sz w:val="20"/>
                <w:szCs w:val="20"/>
              </w:rPr>
            </w:pPr>
            <w:r w:rsidRPr="006A63AF">
              <w:rPr>
                <w:sz w:val="20"/>
                <w:szCs w:val="20"/>
              </w:rPr>
              <w:t>1,550</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 w:val="20"/>
                <w:szCs w:val="20"/>
              </w:rPr>
            </w:pPr>
            <w:r w:rsidRPr="006A63AF">
              <w:rPr>
                <w:sz w:val="20"/>
                <w:szCs w:val="20"/>
              </w:rPr>
              <w:t>50-59</w:t>
            </w:r>
          </w:p>
        </w:tc>
        <w:tc>
          <w:tcPr>
            <w:tcW w:w="1060" w:type="dxa"/>
            <w:shd w:val="clear" w:color="auto" w:fill="auto"/>
            <w:noWrap/>
            <w:vAlign w:val="bottom"/>
          </w:tcPr>
          <w:p w:rsidR="00A8562B" w:rsidRPr="006A63AF" w:rsidRDefault="00A8562B" w:rsidP="006A63AF">
            <w:pPr>
              <w:spacing w:line="240" w:lineRule="auto"/>
              <w:contextualSpacing/>
              <w:jc w:val="right"/>
              <w:rPr>
                <w:sz w:val="20"/>
                <w:szCs w:val="20"/>
              </w:rPr>
            </w:pPr>
            <w:r w:rsidRPr="006A63AF">
              <w:rPr>
                <w:sz w:val="20"/>
                <w:szCs w:val="20"/>
              </w:rPr>
              <w:t>1,632</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 w:val="20"/>
                <w:szCs w:val="20"/>
              </w:rPr>
            </w:pPr>
            <w:r w:rsidRPr="006A63AF">
              <w:rPr>
                <w:sz w:val="20"/>
                <w:szCs w:val="20"/>
              </w:rPr>
              <w:t>60-69</w:t>
            </w:r>
          </w:p>
        </w:tc>
        <w:tc>
          <w:tcPr>
            <w:tcW w:w="1060" w:type="dxa"/>
            <w:shd w:val="clear" w:color="auto" w:fill="auto"/>
            <w:noWrap/>
            <w:vAlign w:val="bottom"/>
          </w:tcPr>
          <w:p w:rsidR="00A8562B" w:rsidRPr="006A63AF" w:rsidRDefault="00A8562B" w:rsidP="006A63AF">
            <w:pPr>
              <w:spacing w:line="240" w:lineRule="auto"/>
              <w:contextualSpacing/>
              <w:jc w:val="right"/>
              <w:rPr>
                <w:sz w:val="20"/>
                <w:szCs w:val="20"/>
              </w:rPr>
            </w:pPr>
            <w:r w:rsidRPr="006A63AF">
              <w:rPr>
                <w:sz w:val="20"/>
                <w:szCs w:val="20"/>
              </w:rPr>
              <w:t>1,281</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 w:val="20"/>
                <w:szCs w:val="20"/>
              </w:rPr>
            </w:pPr>
            <w:r w:rsidRPr="006A63AF">
              <w:rPr>
                <w:sz w:val="20"/>
                <w:szCs w:val="20"/>
              </w:rPr>
              <w:t>70-79</w:t>
            </w:r>
          </w:p>
        </w:tc>
        <w:tc>
          <w:tcPr>
            <w:tcW w:w="1060" w:type="dxa"/>
            <w:shd w:val="clear" w:color="auto" w:fill="auto"/>
            <w:noWrap/>
            <w:vAlign w:val="bottom"/>
          </w:tcPr>
          <w:p w:rsidR="00A8562B" w:rsidRPr="006A63AF" w:rsidRDefault="00A8562B" w:rsidP="006A63AF">
            <w:pPr>
              <w:spacing w:line="240" w:lineRule="auto"/>
              <w:contextualSpacing/>
              <w:jc w:val="right"/>
              <w:rPr>
                <w:sz w:val="20"/>
                <w:szCs w:val="20"/>
              </w:rPr>
            </w:pPr>
            <w:r w:rsidRPr="006A63AF">
              <w:rPr>
                <w:sz w:val="20"/>
                <w:szCs w:val="20"/>
              </w:rPr>
              <w:t>801</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 w:val="20"/>
                <w:szCs w:val="20"/>
              </w:rPr>
            </w:pPr>
            <w:r w:rsidRPr="006A63AF">
              <w:rPr>
                <w:sz w:val="20"/>
                <w:szCs w:val="20"/>
              </w:rPr>
              <w:t>Over 80</w:t>
            </w:r>
          </w:p>
        </w:tc>
        <w:tc>
          <w:tcPr>
            <w:tcW w:w="1060" w:type="dxa"/>
            <w:shd w:val="clear" w:color="auto" w:fill="auto"/>
            <w:noWrap/>
            <w:vAlign w:val="bottom"/>
          </w:tcPr>
          <w:p w:rsidR="00A8562B" w:rsidRPr="006A63AF" w:rsidRDefault="00A8562B" w:rsidP="007941A2">
            <w:pPr>
              <w:keepNext/>
              <w:spacing w:line="240" w:lineRule="auto"/>
              <w:contextualSpacing/>
              <w:jc w:val="right"/>
              <w:rPr>
                <w:sz w:val="20"/>
                <w:szCs w:val="20"/>
              </w:rPr>
            </w:pPr>
            <w:r w:rsidRPr="006A63AF">
              <w:rPr>
                <w:sz w:val="20"/>
                <w:szCs w:val="20"/>
              </w:rPr>
              <w:t>430</w:t>
            </w:r>
          </w:p>
        </w:tc>
      </w:tr>
    </w:tbl>
    <w:p w:rsidR="00764386" w:rsidRDefault="007941A2" w:rsidP="007941A2">
      <w:pPr>
        <w:pStyle w:val="Caption"/>
        <w:rPr>
          <w:b w:val="0"/>
          <w:color w:val="4E5612"/>
          <w:sz w:val="25"/>
        </w:rPr>
      </w:pPr>
      <w:r>
        <w:tab/>
      </w:r>
      <w:r>
        <w:tab/>
      </w:r>
      <w:r>
        <w:tab/>
      </w:r>
      <w:r>
        <w:tab/>
        <w:t xml:space="preserve">                 Figure </w:t>
      </w:r>
      <w:fldSimple w:instr=" SEQ Figure \* ARABIC ">
        <w:r w:rsidR="00707511">
          <w:rPr>
            <w:noProof/>
          </w:rPr>
          <w:t>12</w:t>
        </w:r>
      </w:fldSimple>
    </w:p>
    <w:p w:rsidR="00A8562B" w:rsidRPr="00764386" w:rsidRDefault="00A8562B" w:rsidP="006A63AF">
      <w:pPr>
        <w:spacing w:line="240" w:lineRule="auto"/>
        <w:contextualSpacing/>
        <w:rPr>
          <w:b/>
          <w:color w:val="4E5612"/>
          <w:sz w:val="25"/>
        </w:rPr>
      </w:pPr>
      <w:r w:rsidRPr="00764386">
        <w:rPr>
          <w:b/>
          <w:color w:val="4E5612"/>
          <w:sz w:val="25"/>
        </w:rPr>
        <w:t>Employment</w:t>
      </w:r>
    </w:p>
    <w:p w:rsidR="00A8562B" w:rsidRPr="006A63AF" w:rsidRDefault="00ED17A9" w:rsidP="006A63AF">
      <w:pPr>
        <w:spacing w:line="240" w:lineRule="auto"/>
        <w:contextualSpacing/>
      </w:pPr>
      <w:r>
        <w:t>Fremont County’s</w:t>
      </w:r>
      <w:r w:rsidR="00A8562B" w:rsidRPr="006A63AF">
        <w:t xml:space="preserve"> labor force is 6,305.  There are 268 unemployed and 6</w:t>
      </w:r>
      <w:r>
        <w:t>,</w:t>
      </w:r>
      <w:r w:rsidR="00A8562B" w:rsidRPr="006A63AF">
        <w:t>037 that are employed.  There are 13,242 people living in Fremont County with 9</w:t>
      </w:r>
      <w:r>
        <w:t>,</w:t>
      </w:r>
      <w:r w:rsidR="00A8562B" w:rsidRPr="006A63AF">
        <w:t>421 over 16 years old. The average commute time to work is 21.0 minutes. The longer commute time for a smaller town may indicate that the agriculture community is traveling 5-10 miles to farming jobs.</w:t>
      </w:r>
      <w:r w:rsidR="00A8562B" w:rsidRPr="006A63AF">
        <w:rPr>
          <w:rStyle w:val="FootnoteReference"/>
        </w:rPr>
        <w:t xml:space="preserve"> </w:t>
      </w:r>
      <w:r w:rsidR="00A8562B" w:rsidRPr="006A63AF">
        <w:rPr>
          <w:rStyle w:val="FootnoteReference"/>
        </w:rPr>
        <w:footnoteReference w:id="16"/>
      </w:r>
    </w:p>
    <w:p w:rsidR="00A8562B" w:rsidRPr="006A63AF" w:rsidRDefault="00A8562B" w:rsidP="006A63AF">
      <w:pPr>
        <w:spacing w:line="240" w:lineRule="auto"/>
        <w:contextualSpacing/>
      </w:pPr>
    </w:p>
    <w:p w:rsidR="003A2460" w:rsidRDefault="00A8562B" w:rsidP="006A63AF">
      <w:pPr>
        <w:spacing w:line="240" w:lineRule="auto"/>
        <w:contextualSpacing/>
        <w:rPr>
          <w:b/>
          <w:color w:val="4E5612"/>
          <w:sz w:val="25"/>
        </w:rPr>
      </w:pPr>
      <w:r w:rsidRPr="00764386">
        <w:rPr>
          <w:b/>
          <w:color w:val="4E5612"/>
          <w:sz w:val="25"/>
        </w:rPr>
        <w:t>Income</w:t>
      </w:r>
    </w:p>
    <w:p w:rsidR="00B864AC" w:rsidRDefault="00A8562B" w:rsidP="006A63AF">
      <w:pPr>
        <w:spacing w:line="240" w:lineRule="auto"/>
        <w:contextualSpacing/>
      </w:pPr>
      <w:r w:rsidRPr="006A63AF">
        <w:t>According to the U.S. Census Bureau over 59% of households earn $49,999 or less. Median household income is $42,523 with a mean of $53,175.</w:t>
      </w:r>
      <w:r w:rsidRPr="006A63AF">
        <w:rPr>
          <w:rStyle w:val="FootnoteReference"/>
        </w:rPr>
        <w:t xml:space="preserve"> </w:t>
      </w:r>
      <w:r w:rsidRPr="006A63AF">
        <w:rPr>
          <w:rStyle w:val="FootnoteReference"/>
        </w:rPr>
        <w:footnoteReference w:id="17"/>
      </w:r>
      <w:r w:rsidRPr="006A63AF">
        <w:t xml:space="preserve">  Below the incomes are broken down into six strata’s.</w:t>
      </w:r>
    </w:p>
    <w:p w:rsidR="00355BC6" w:rsidRPr="003A2460" w:rsidRDefault="00355BC6" w:rsidP="006A63AF">
      <w:pPr>
        <w:spacing w:line="240" w:lineRule="auto"/>
        <w:contextualSpacing/>
        <w:rPr>
          <w:b/>
          <w:color w:val="4E5612"/>
          <w:sz w:val="25"/>
        </w:rPr>
      </w:pPr>
    </w:p>
    <w:p w:rsidR="00A8562B" w:rsidRPr="006A63AF" w:rsidRDefault="00A8562B" w:rsidP="006A63AF">
      <w:pPr>
        <w:spacing w:line="240" w:lineRule="auto"/>
        <w:contextualSpacing/>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98"/>
        <w:gridCol w:w="2700"/>
      </w:tblGrid>
      <w:tr w:rsidR="00A8562B" w:rsidRPr="006A63AF" w:rsidTr="001B6FFE">
        <w:trPr>
          <w:jc w:val="center"/>
        </w:trPr>
        <w:tc>
          <w:tcPr>
            <w:tcW w:w="2898" w:type="dxa"/>
          </w:tcPr>
          <w:p w:rsidR="00A8562B" w:rsidRPr="006A63AF" w:rsidRDefault="00A8562B" w:rsidP="006A63AF">
            <w:pPr>
              <w:contextualSpacing/>
              <w:rPr>
                <w:rFonts w:ascii="Garamond" w:hAnsi="Garamond"/>
                <w:b/>
              </w:rPr>
            </w:pPr>
            <w:r w:rsidRPr="006A63AF">
              <w:rPr>
                <w:rFonts w:ascii="Garamond" w:hAnsi="Garamond"/>
                <w:b/>
              </w:rPr>
              <w:lastRenderedPageBreak/>
              <w:t>Income</w:t>
            </w:r>
          </w:p>
        </w:tc>
        <w:tc>
          <w:tcPr>
            <w:tcW w:w="2700" w:type="dxa"/>
          </w:tcPr>
          <w:p w:rsidR="00A8562B" w:rsidRPr="006A63AF" w:rsidRDefault="00A8562B" w:rsidP="006A63AF">
            <w:pPr>
              <w:contextualSpacing/>
              <w:jc w:val="center"/>
              <w:rPr>
                <w:rFonts w:ascii="Garamond" w:hAnsi="Garamond"/>
                <w:b/>
              </w:rPr>
            </w:pPr>
            <w:r w:rsidRPr="006A63AF">
              <w:rPr>
                <w:rFonts w:ascii="Garamond" w:hAnsi="Garamond"/>
                <w:b/>
              </w:rPr>
              <w:t>Households</w:t>
            </w:r>
          </w:p>
        </w:tc>
      </w:tr>
      <w:tr w:rsidR="00A8562B" w:rsidRPr="006A63AF" w:rsidTr="001B6FFE">
        <w:trPr>
          <w:jc w:val="center"/>
        </w:trPr>
        <w:tc>
          <w:tcPr>
            <w:tcW w:w="2898" w:type="dxa"/>
          </w:tcPr>
          <w:p w:rsidR="00A8562B" w:rsidRPr="006A63AF" w:rsidRDefault="00A8562B" w:rsidP="006A63AF">
            <w:pPr>
              <w:contextualSpacing/>
              <w:rPr>
                <w:rFonts w:ascii="Garamond" w:hAnsi="Garamond"/>
              </w:rPr>
            </w:pPr>
            <w:r w:rsidRPr="006A63AF">
              <w:rPr>
                <w:rFonts w:ascii="Garamond" w:hAnsi="Garamond"/>
              </w:rPr>
              <w:t>$0 to 9,999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229</w:t>
            </w:r>
          </w:p>
        </w:tc>
      </w:tr>
      <w:tr w:rsidR="00A8562B" w:rsidRPr="006A63AF" w:rsidTr="001B6FFE">
        <w:trPr>
          <w:jc w:val="center"/>
        </w:trPr>
        <w:tc>
          <w:tcPr>
            <w:tcW w:w="2898" w:type="dxa"/>
          </w:tcPr>
          <w:p w:rsidR="00A8562B" w:rsidRPr="006A63AF" w:rsidRDefault="00A8562B" w:rsidP="006A63AF">
            <w:pPr>
              <w:contextualSpacing/>
              <w:rPr>
                <w:rFonts w:ascii="Garamond" w:hAnsi="Garamond"/>
              </w:rPr>
            </w:pPr>
            <w:r w:rsidRPr="006A63AF">
              <w:rPr>
                <w:rFonts w:ascii="Garamond" w:hAnsi="Garamond"/>
              </w:rPr>
              <w:t>$10,000 to $24,999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737</w:t>
            </w:r>
          </w:p>
        </w:tc>
      </w:tr>
      <w:tr w:rsidR="00A8562B" w:rsidRPr="006A63AF" w:rsidTr="001B6FFE">
        <w:trPr>
          <w:jc w:val="center"/>
        </w:trPr>
        <w:tc>
          <w:tcPr>
            <w:tcW w:w="2898" w:type="dxa"/>
          </w:tcPr>
          <w:p w:rsidR="00A8562B" w:rsidRPr="006A63AF" w:rsidRDefault="00A8562B" w:rsidP="006A63AF">
            <w:pPr>
              <w:contextualSpacing/>
              <w:rPr>
                <w:rFonts w:ascii="Garamond" w:hAnsi="Garamond"/>
              </w:rPr>
            </w:pPr>
            <w:r w:rsidRPr="006A63AF">
              <w:rPr>
                <w:rFonts w:ascii="Garamond" w:hAnsi="Garamond"/>
              </w:rPr>
              <w:t>$25,000 to $49,999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1,609</w:t>
            </w:r>
          </w:p>
        </w:tc>
      </w:tr>
      <w:tr w:rsidR="00A8562B" w:rsidRPr="006A63AF" w:rsidTr="001B6FFE">
        <w:trPr>
          <w:jc w:val="center"/>
        </w:trPr>
        <w:tc>
          <w:tcPr>
            <w:tcW w:w="2898" w:type="dxa"/>
          </w:tcPr>
          <w:p w:rsidR="00A8562B" w:rsidRPr="006A63AF" w:rsidRDefault="00A8562B" w:rsidP="006A63AF">
            <w:pPr>
              <w:contextualSpacing/>
              <w:rPr>
                <w:rFonts w:ascii="Garamond" w:hAnsi="Garamond"/>
              </w:rPr>
            </w:pPr>
            <w:r w:rsidRPr="006A63AF">
              <w:rPr>
                <w:rFonts w:ascii="Garamond" w:hAnsi="Garamond"/>
              </w:rPr>
              <w:t>$50,000 to $74,999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969</w:t>
            </w:r>
          </w:p>
        </w:tc>
      </w:tr>
      <w:tr w:rsidR="00A8562B" w:rsidRPr="006A63AF" w:rsidTr="001B6FFE">
        <w:trPr>
          <w:jc w:val="center"/>
        </w:trPr>
        <w:tc>
          <w:tcPr>
            <w:tcW w:w="2898" w:type="dxa"/>
          </w:tcPr>
          <w:p w:rsidR="00A8562B" w:rsidRPr="006A63AF" w:rsidRDefault="00A8562B" w:rsidP="006A63AF">
            <w:pPr>
              <w:contextualSpacing/>
              <w:rPr>
                <w:rFonts w:ascii="Garamond" w:hAnsi="Garamond"/>
              </w:rPr>
            </w:pPr>
            <w:r w:rsidRPr="006A63AF">
              <w:rPr>
                <w:rFonts w:ascii="Garamond" w:hAnsi="Garamond"/>
              </w:rPr>
              <w:t>$75,000 to $99,999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528</w:t>
            </w:r>
          </w:p>
        </w:tc>
      </w:tr>
      <w:tr w:rsidR="00A8562B" w:rsidRPr="006A63AF" w:rsidTr="001B6FFE">
        <w:trPr>
          <w:jc w:val="center"/>
        </w:trPr>
        <w:tc>
          <w:tcPr>
            <w:tcW w:w="2898" w:type="dxa"/>
          </w:tcPr>
          <w:p w:rsidR="00A8562B" w:rsidRPr="006A63AF" w:rsidRDefault="00A8562B" w:rsidP="006A63AF">
            <w:pPr>
              <w:contextualSpacing/>
              <w:rPr>
                <w:rFonts w:ascii="Garamond" w:hAnsi="Garamond"/>
              </w:rPr>
            </w:pPr>
            <w:r w:rsidRPr="006A63AF">
              <w:rPr>
                <w:rFonts w:ascii="Garamond" w:hAnsi="Garamond"/>
              </w:rPr>
              <w:t>$100,000 and Above</w:t>
            </w:r>
          </w:p>
        </w:tc>
        <w:tc>
          <w:tcPr>
            <w:tcW w:w="2700" w:type="dxa"/>
          </w:tcPr>
          <w:p w:rsidR="00A8562B" w:rsidRPr="006A63AF" w:rsidRDefault="00A8562B" w:rsidP="007941A2">
            <w:pPr>
              <w:keepNext/>
              <w:contextualSpacing/>
              <w:jc w:val="center"/>
              <w:rPr>
                <w:rFonts w:ascii="Garamond" w:hAnsi="Garamond"/>
              </w:rPr>
            </w:pPr>
            <w:r w:rsidRPr="006A63AF">
              <w:rPr>
                <w:rFonts w:ascii="Garamond" w:hAnsi="Garamond"/>
              </w:rPr>
              <w:t>282</w:t>
            </w:r>
          </w:p>
        </w:tc>
      </w:tr>
    </w:tbl>
    <w:p w:rsidR="00A8562B" w:rsidRPr="006A63AF" w:rsidRDefault="007941A2" w:rsidP="007941A2">
      <w:pPr>
        <w:pStyle w:val="Caption"/>
      </w:pPr>
      <w:r>
        <w:tab/>
      </w:r>
      <w:r>
        <w:tab/>
        <w:t xml:space="preserve">          Figure </w:t>
      </w:r>
      <w:fldSimple w:instr=" SEQ Figure \* ARABIC ">
        <w:r w:rsidR="00707511">
          <w:rPr>
            <w:noProof/>
          </w:rPr>
          <w:t>13</w:t>
        </w:r>
      </w:fldSimple>
    </w:p>
    <w:p w:rsidR="00A76E8D" w:rsidRPr="00764386" w:rsidRDefault="00A76E8D" w:rsidP="006A63AF">
      <w:pPr>
        <w:spacing w:line="240" w:lineRule="auto"/>
        <w:contextualSpacing/>
        <w:rPr>
          <w:b/>
          <w:color w:val="4E5612"/>
          <w:sz w:val="25"/>
        </w:rPr>
      </w:pPr>
      <w:r w:rsidRPr="00764386">
        <w:rPr>
          <w:b/>
          <w:color w:val="4E5612"/>
          <w:sz w:val="25"/>
        </w:rPr>
        <w:t>Home Values</w:t>
      </w:r>
    </w:p>
    <w:p w:rsidR="003A2460" w:rsidRDefault="00A76E8D" w:rsidP="006A63AF">
      <w:pPr>
        <w:spacing w:line="240" w:lineRule="auto"/>
        <w:contextualSpacing/>
      </w:pPr>
      <w:r w:rsidRPr="006A63AF">
        <w:t xml:space="preserve">According to the </w:t>
      </w:r>
      <w:r w:rsidR="00B864AC">
        <w:t>2010 Census,</w:t>
      </w:r>
      <w:r w:rsidRPr="006A63AF">
        <w:t xml:space="preserve"> </w:t>
      </w:r>
      <w:r w:rsidR="00B864AC">
        <w:t xml:space="preserve">the </w:t>
      </w:r>
      <w:r w:rsidRPr="006A63AF">
        <w:t xml:space="preserve">total </w:t>
      </w:r>
      <w:r w:rsidR="00B864AC">
        <w:t xml:space="preserve">number of </w:t>
      </w:r>
      <w:r w:rsidRPr="006A63AF">
        <w:t>hou</w:t>
      </w:r>
      <w:r w:rsidR="00B864AC">
        <w:t>sing units</w:t>
      </w:r>
      <w:r w:rsidRPr="006A63AF">
        <w:t xml:space="preserve"> was 8,531.  Owner occupied housing units were 3,585 and renter occupied housing units were 851.  There were 4,095 vacant housing units.  Due to the amount of tourism in Island Park we can assume the large amount of vacant housing units is vacation homes. </w:t>
      </w:r>
      <w:r w:rsidR="001576A7">
        <w:t>Figure 14 shows</w:t>
      </w:r>
      <w:r w:rsidRPr="006A63AF">
        <w:t xml:space="preserve"> </w:t>
      </w:r>
      <w:r w:rsidR="001576A7">
        <w:t>h</w:t>
      </w:r>
      <w:r w:rsidRPr="006A63AF">
        <w:t>ome value</w:t>
      </w:r>
      <w:r w:rsidR="00670D54">
        <w:t>s</w:t>
      </w:r>
      <w:r w:rsidRPr="006A63AF">
        <w:t xml:space="preserve"> and rental costs</w:t>
      </w:r>
      <w:r w:rsidR="00670D54">
        <w:t>.</w:t>
      </w:r>
      <w:r w:rsidRPr="006A63AF">
        <w:rPr>
          <w:rStyle w:val="FootnoteReference"/>
        </w:rPr>
        <w:footnoteReference w:id="18"/>
      </w:r>
    </w:p>
    <w:p w:rsidR="00A76E8D" w:rsidRPr="006A63AF" w:rsidRDefault="00A76E8D" w:rsidP="006A63AF">
      <w:pPr>
        <w:spacing w:line="240" w:lineRule="auto"/>
        <w:contextualSpacing/>
      </w:pPr>
    </w:p>
    <w:tbl>
      <w:tblPr>
        <w:tblStyle w:val="TableGrid"/>
        <w:tblpPr w:leftFromText="180" w:rightFromText="180" w:vertAnchor="text" w:tblpY="1"/>
        <w:tblOverlap w:val="neve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14"/>
        <w:gridCol w:w="3206"/>
        <w:gridCol w:w="2886"/>
      </w:tblGrid>
      <w:tr w:rsidR="00A76E8D" w:rsidRPr="006A63AF" w:rsidTr="001B6FFE">
        <w:trPr>
          <w:trHeight w:val="275"/>
        </w:trPr>
        <w:tc>
          <w:tcPr>
            <w:tcW w:w="3014" w:type="dxa"/>
          </w:tcPr>
          <w:p w:rsidR="00A76E8D" w:rsidRPr="006A63AF" w:rsidRDefault="00670D54" w:rsidP="006A63AF">
            <w:pPr>
              <w:contextualSpacing/>
              <w:rPr>
                <w:rFonts w:ascii="Garamond" w:hAnsi="Garamond"/>
                <w:b/>
              </w:rPr>
            </w:pPr>
            <w:r>
              <w:rPr>
                <w:rFonts w:ascii="Garamond" w:hAnsi="Garamond"/>
                <w:b/>
              </w:rPr>
              <w:t xml:space="preserve">Home </w:t>
            </w:r>
            <w:r w:rsidR="00A76E8D" w:rsidRPr="006A63AF">
              <w:rPr>
                <w:rFonts w:ascii="Garamond" w:hAnsi="Garamond"/>
                <w:b/>
              </w:rPr>
              <w:t>Value</w:t>
            </w:r>
          </w:p>
        </w:tc>
        <w:tc>
          <w:tcPr>
            <w:tcW w:w="3206" w:type="dxa"/>
          </w:tcPr>
          <w:p w:rsidR="00A76E8D" w:rsidRPr="006A63AF" w:rsidRDefault="00A76E8D" w:rsidP="006A63AF">
            <w:pPr>
              <w:contextualSpacing/>
              <w:jc w:val="center"/>
              <w:rPr>
                <w:rFonts w:ascii="Garamond" w:hAnsi="Garamond"/>
                <w:b/>
              </w:rPr>
            </w:pPr>
            <w:r w:rsidRPr="006A63AF">
              <w:rPr>
                <w:rFonts w:ascii="Garamond" w:hAnsi="Garamond"/>
                <w:b/>
              </w:rPr>
              <w:t>Owner Occupied Units</w:t>
            </w:r>
          </w:p>
        </w:tc>
        <w:tc>
          <w:tcPr>
            <w:tcW w:w="2886" w:type="dxa"/>
          </w:tcPr>
          <w:p w:rsidR="00A76E8D" w:rsidRPr="006A63AF" w:rsidRDefault="00A76E8D" w:rsidP="006A63AF">
            <w:pPr>
              <w:contextualSpacing/>
              <w:jc w:val="center"/>
              <w:rPr>
                <w:rFonts w:ascii="Garamond" w:hAnsi="Garamond"/>
                <w:b/>
              </w:rPr>
            </w:pPr>
            <w:r w:rsidRPr="006A63AF">
              <w:rPr>
                <w:rFonts w:ascii="Garamond" w:hAnsi="Garamond"/>
                <w:b/>
              </w:rPr>
              <w:t>Percentage of Population</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0 to $49,999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397</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10.8%</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$50,000 to $99,999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838</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22.8%</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$100,000 to $149,999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946</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25.7%</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$150,000 to $199,999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527</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14.3%</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$200,000 to $299,999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567</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15.4%</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$300,000 to $499,999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282</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7.7%</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$500,000 to $999,999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117</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3.2%</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$1,000,000 or more</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3</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0.1%</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Total</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3,677</w:t>
            </w:r>
          </w:p>
        </w:tc>
        <w:tc>
          <w:tcPr>
            <w:tcW w:w="2886" w:type="dxa"/>
          </w:tcPr>
          <w:p w:rsidR="00A76E8D" w:rsidRPr="006A63AF" w:rsidRDefault="00A76E8D" w:rsidP="007941A2">
            <w:pPr>
              <w:keepNext/>
              <w:contextualSpacing/>
              <w:jc w:val="center"/>
              <w:rPr>
                <w:rFonts w:ascii="Garamond" w:hAnsi="Garamond"/>
              </w:rPr>
            </w:pPr>
            <w:r w:rsidRPr="006A63AF">
              <w:rPr>
                <w:rFonts w:ascii="Garamond" w:hAnsi="Garamond"/>
              </w:rPr>
              <w:t>100%</w:t>
            </w:r>
          </w:p>
        </w:tc>
      </w:tr>
    </w:tbl>
    <w:p w:rsidR="007941A2" w:rsidRDefault="007941A2" w:rsidP="007941A2">
      <w:pPr>
        <w:pStyle w:val="Caption"/>
        <w:framePr w:hSpace="180" w:wrap="around" w:vAnchor="text" w:hAnchor="text" w:y="1"/>
        <w:suppressOverlap/>
      </w:pPr>
      <w:r>
        <w:t xml:space="preserve">Figure </w:t>
      </w:r>
      <w:fldSimple w:instr=" SEQ Figure \* ARABIC ">
        <w:r w:rsidR="00707511">
          <w:rPr>
            <w:noProof/>
          </w:rPr>
          <w:t>14</w:t>
        </w:r>
      </w:fldSimple>
    </w:p>
    <w:p w:rsidR="00A76E8D" w:rsidRPr="006A63AF" w:rsidRDefault="00A76E8D" w:rsidP="006A63AF">
      <w:pPr>
        <w:spacing w:line="240" w:lineRule="auto"/>
        <w:ind w:left="360" w:firstLine="720"/>
        <w:contextualSpacing/>
      </w:pPr>
      <w:r w:rsidRPr="006A63AF">
        <w:rPr>
          <w:rStyle w:val="FootnoteReference"/>
        </w:rPr>
        <w:footnoteReference w:id="19"/>
      </w:r>
    </w:p>
    <w:p w:rsidR="00277F7A" w:rsidRDefault="00277F7A" w:rsidP="006A63AF">
      <w:pPr>
        <w:spacing w:line="240" w:lineRule="auto"/>
        <w:contextualSpacing/>
        <w:rPr>
          <w:b/>
          <w:color w:val="4E5612"/>
          <w:sz w:val="25"/>
        </w:rPr>
      </w:pPr>
    </w:p>
    <w:p w:rsidR="00355BC6" w:rsidRDefault="00355BC6">
      <w:pPr>
        <w:rPr>
          <w:b/>
          <w:color w:val="4E5612"/>
          <w:sz w:val="25"/>
        </w:rPr>
      </w:pPr>
      <w:r>
        <w:rPr>
          <w:b/>
          <w:color w:val="4E5612"/>
          <w:sz w:val="25"/>
        </w:rPr>
        <w:br w:type="page"/>
      </w:r>
    </w:p>
    <w:p w:rsidR="00A8562B" w:rsidRPr="00764386" w:rsidRDefault="00A8562B" w:rsidP="006A63AF">
      <w:pPr>
        <w:spacing w:line="240" w:lineRule="auto"/>
        <w:contextualSpacing/>
        <w:rPr>
          <w:b/>
          <w:color w:val="4E5612"/>
          <w:sz w:val="25"/>
        </w:rPr>
      </w:pPr>
      <w:r w:rsidRPr="00764386">
        <w:rPr>
          <w:b/>
          <w:color w:val="4E5612"/>
          <w:sz w:val="25"/>
        </w:rPr>
        <w:lastRenderedPageBreak/>
        <w:t>Housing Costs</w:t>
      </w:r>
    </w:p>
    <w:p w:rsidR="003A2460" w:rsidRDefault="00A8562B" w:rsidP="006A63AF">
      <w:pPr>
        <w:spacing w:line="240" w:lineRule="auto"/>
        <w:contextualSpacing/>
      </w:pPr>
      <w:r w:rsidRPr="006A63AF">
        <w:t xml:space="preserve">The </w:t>
      </w:r>
      <w:r w:rsidR="001576A7">
        <w:t>Figure 15</w:t>
      </w:r>
      <w:r w:rsidRPr="006A63AF">
        <w:t xml:space="preserve"> illustrates the percentage of income that people spend on housing costs. In Fremont County, the majority of the people either spent less than 20% on housing or more than 30%. Of those with a mortgage, 43.2% spent less than 20% while 35.6% spent more than 30% on housing. </w:t>
      </w:r>
      <w:r w:rsidRPr="006A63AF">
        <w:rPr>
          <w:rStyle w:val="FootnoteReference"/>
        </w:rPr>
        <w:footnoteReference w:id="20"/>
      </w:r>
    </w:p>
    <w:p w:rsidR="00A8562B" w:rsidRPr="006A63AF" w:rsidRDefault="00A8562B" w:rsidP="006A63AF">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394"/>
        <w:gridCol w:w="2394"/>
        <w:gridCol w:w="2394"/>
        <w:gridCol w:w="2394"/>
      </w:tblGrid>
      <w:tr w:rsidR="00A8562B" w:rsidRPr="006A63AF" w:rsidTr="001B6FFE">
        <w:tc>
          <w:tcPr>
            <w:tcW w:w="2394" w:type="dxa"/>
          </w:tcPr>
          <w:p w:rsidR="00A8562B" w:rsidRPr="006A63AF" w:rsidRDefault="00A8562B" w:rsidP="006A63AF">
            <w:pPr>
              <w:contextualSpacing/>
              <w:rPr>
                <w:rFonts w:ascii="Garamond" w:hAnsi="Garamond"/>
                <w:b/>
              </w:rPr>
            </w:pPr>
            <w:r w:rsidRPr="006A63AF">
              <w:rPr>
                <w:rFonts w:ascii="Garamond" w:hAnsi="Garamond"/>
                <w:b/>
              </w:rPr>
              <w:t>Percent of Income Spent on Housing</w:t>
            </w:r>
          </w:p>
        </w:tc>
        <w:tc>
          <w:tcPr>
            <w:tcW w:w="2394" w:type="dxa"/>
          </w:tcPr>
          <w:p w:rsidR="00A8562B" w:rsidRPr="006A63AF" w:rsidRDefault="00A8562B" w:rsidP="006A63AF">
            <w:pPr>
              <w:contextualSpacing/>
              <w:rPr>
                <w:rFonts w:ascii="Garamond" w:hAnsi="Garamond"/>
                <w:b/>
              </w:rPr>
            </w:pPr>
            <w:r w:rsidRPr="006A63AF">
              <w:rPr>
                <w:rFonts w:ascii="Garamond" w:hAnsi="Garamond"/>
                <w:b/>
              </w:rPr>
              <w:t>Housing Costs with a Mortgage</w:t>
            </w:r>
          </w:p>
        </w:tc>
        <w:tc>
          <w:tcPr>
            <w:tcW w:w="2394" w:type="dxa"/>
          </w:tcPr>
          <w:p w:rsidR="00A8562B" w:rsidRPr="006A63AF" w:rsidRDefault="00A8562B" w:rsidP="006A63AF">
            <w:pPr>
              <w:contextualSpacing/>
              <w:rPr>
                <w:rFonts w:ascii="Garamond" w:hAnsi="Garamond"/>
                <w:b/>
              </w:rPr>
            </w:pPr>
            <w:r w:rsidRPr="006A63AF">
              <w:rPr>
                <w:rFonts w:ascii="Garamond" w:hAnsi="Garamond"/>
                <w:b/>
              </w:rPr>
              <w:t>Housing Costs without a Mortgage</w:t>
            </w:r>
          </w:p>
        </w:tc>
        <w:tc>
          <w:tcPr>
            <w:tcW w:w="2394" w:type="dxa"/>
          </w:tcPr>
          <w:p w:rsidR="00A8562B" w:rsidRPr="006A63AF" w:rsidRDefault="00A8562B" w:rsidP="006A63AF">
            <w:pPr>
              <w:contextualSpacing/>
              <w:rPr>
                <w:rFonts w:ascii="Garamond" w:hAnsi="Garamond"/>
                <w:b/>
              </w:rPr>
            </w:pPr>
            <w:r w:rsidRPr="006A63AF">
              <w:rPr>
                <w:rFonts w:ascii="Garamond" w:hAnsi="Garamond"/>
                <w:b/>
              </w:rPr>
              <w:t>Rental Costs</w:t>
            </w:r>
          </w:p>
        </w:tc>
      </w:tr>
      <w:tr w:rsidR="00A8562B" w:rsidRPr="006A63AF" w:rsidTr="001B6FFE">
        <w:tc>
          <w:tcPr>
            <w:tcW w:w="2394" w:type="dxa"/>
          </w:tcPr>
          <w:p w:rsidR="00A8562B" w:rsidRPr="006A63AF" w:rsidRDefault="00A8562B" w:rsidP="006A63AF">
            <w:pPr>
              <w:contextualSpacing/>
              <w:rPr>
                <w:rFonts w:ascii="Garamond" w:hAnsi="Garamond"/>
              </w:rPr>
            </w:pPr>
            <w:r w:rsidRPr="006A63AF">
              <w:rPr>
                <w:rFonts w:ascii="Garamond" w:hAnsi="Garamond"/>
              </w:rPr>
              <w:t>Less than 20%</w:t>
            </w:r>
          </w:p>
        </w:tc>
        <w:tc>
          <w:tcPr>
            <w:tcW w:w="2394" w:type="dxa"/>
          </w:tcPr>
          <w:p w:rsidR="00A8562B" w:rsidRPr="006A63AF" w:rsidRDefault="00A8562B" w:rsidP="006A63AF">
            <w:pPr>
              <w:contextualSpacing/>
              <w:rPr>
                <w:rFonts w:ascii="Garamond" w:hAnsi="Garamond"/>
              </w:rPr>
            </w:pPr>
            <w:r w:rsidRPr="006A63AF">
              <w:rPr>
                <w:rFonts w:ascii="Garamond" w:hAnsi="Garamond"/>
              </w:rPr>
              <w:t>43.2%</w:t>
            </w:r>
          </w:p>
        </w:tc>
        <w:tc>
          <w:tcPr>
            <w:tcW w:w="2394" w:type="dxa"/>
          </w:tcPr>
          <w:p w:rsidR="00A8562B" w:rsidRPr="006A63AF" w:rsidRDefault="00A8562B" w:rsidP="006A63AF">
            <w:pPr>
              <w:contextualSpacing/>
              <w:rPr>
                <w:rFonts w:ascii="Garamond" w:hAnsi="Garamond"/>
              </w:rPr>
            </w:pPr>
            <w:r w:rsidRPr="006A63AF">
              <w:rPr>
                <w:rFonts w:ascii="Garamond" w:hAnsi="Garamond"/>
              </w:rPr>
              <w:t>75.0%</w:t>
            </w:r>
          </w:p>
        </w:tc>
        <w:tc>
          <w:tcPr>
            <w:tcW w:w="2394" w:type="dxa"/>
          </w:tcPr>
          <w:p w:rsidR="00A8562B" w:rsidRPr="006A63AF" w:rsidRDefault="00A8562B" w:rsidP="006A63AF">
            <w:pPr>
              <w:contextualSpacing/>
              <w:rPr>
                <w:rFonts w:ascii="Garamond" w:hAnsi="Garamond"/>
              </w:rPr>
            </w:pPr>
            <w:r w:rsidRPr="006A63AF">
              <w:rPr>
                <w:rFonts w:ascii="Garamond" w:hAnsi="Garamond"/>
              </w:rPr>
              <w:t>52.0%</w:t>
            </w:r>
          </w:p>
        </w:tc>
      </w:tr>
      <w:tr w:rsidR="00A8562B" w:rsidRPr="006A63AF" w:rsidTr="001B6FFE">
        <w:tc>
          <w:tcPr>
            <w:tcW w:w="2394" w:type="dxa"/>
          </w:tcPr>
          <w:p w:rsidR="00A8562B" w:rsidRPr="006A63AF" w:rsidRDefault="00A8562B" w:rsidP="006A63AF">
            <w:pPr>
              <w:contextualSpacing/>
              <w:rPr>
                <w:rFonts w:ascii="Garamond" w:hAnsi="Garamond"/>
              </w:rPr>
            </w:pPr>
            <w:r w:rsidRPr="006A63AF">
              <w:rPr>
                <w:rFonts w:ascii="Garamond" w:hAnsi="Garamond"/>
              </w:rPr>
              <w:t>20% to 24.9%</w:t>
            </w:r>
          </w:p>
        </w:tc>
        <w:tc>
          <w:tcPr>
            <w:tcW w:w="2394" w:type="dxa"/>
          </w:tcPr>
          <w:p w:rsidR="00A8562B" w:rsidRPr="006A63AF" w:rsidRDefault="00A8562B" w:rsidP="006A63AF">
            <w:pPr>
              <w:contextualSpacing/>
              <w:rPr>
                <w:rFonts w:ascii="Garamond" w:hAnsi="Garamond"/>
              </w:rPr>
            </w:pPr>
            <w:r w:rsidRPr="006A63AF">
              <w:rPr>
                <w:rFonts w:ascii="Garamond" w:hAnsi="Garamond"/>
              </w:rPr>
              <w:t>13.9%</w:t>
            </w:r>
          </w:p>
        </w:tc>
        <w:tc>
          <w:tcPr>
            <w:tcW w:w="2394" w:type="dxa"/>
          </w:tcPr>
          <w:p w:rsidR="00A8562B" w:rsidRPr="006A63AF" w:rsidRDefault="00A8562B" w:rsidP="006A63AF">
            <w:pPr>
              <w:contextualSpacing/>
              <w:rPr>
                <w:rFonts w:ascii="Garamond" w:hAnsi="Garamond"/>
              </w:rPr>
            </w:pPr>
            <w:r w:rsidRPr="006A63AF">
              <w:rPr>
                <w:rFonts w:ascii="Garamond" w:hAnsi="Garamond"/>
              </w:rPr>
              <w:t>4.9%</w:t>
            </w:r>
          </w:p>
        </w:tc>
        <w:tc>
          <w:tcPr>
            <w:tcW w:w="2394" w:type="dxa"/>
          </w:tcPr>
          <w:p w:rsidR="00A8562B" w:rsidRPr="006A63AF" w:rsidRDefault="00A8562B" w:rsidP="006A63AF">
            <w:pPr>
              <w:contextualSpacing/>
              <w:rPr>
                <w:rFonts w:ascii="Garamond" w:hAnsi="Garamond"/>
              </w:rPr>
            </w:pPr>
            <w:r w:rsidRPr="006A63AF">
              <w:rPr>
                <w:rFonts w:ascii="Garamond" w:hAnsi="Garamond"/>
              </w:rPr>
              <w:t>12.6%</w:t>
            </w:r>
          </w:p>
        </w:tc>
      </w:tr>
      <w:tr w:rsidR="00A8562B" w:rsidRPr="006A63AF" w:rsidTr="001B6FFE">
        <w:tc>
          <w:tcPr>
            <w:tcW w:w="2394" w:type="dxa"/>
          </w:tcPr>
          <w:p w:rsidR="00A8562B" w:rsidRPr="006A63AF" w:rsidRDefault="00A8562B" w:rsidP="006A63AF">
            <w:pPr>
              <w:contextualSpacing/>
              <w:rPr>
                <w:rFonts w:ascii="Garamond" w:hAnsi="Garamond"/>
              </w:rPr>
            </w:pPr>
            <w:r w:rsidRPr="006A63AF">
              <w:rPr>
                <w:rFonts w:ascii="Garamond" w:hAnsi="Garamond"/>
              </w:rPr>
              <w:t>25% to 29.9%</w:t>
            </w:r>
          </w:p>
        </w:tc>
        <w:tc>
          <w:tcPr>
            <w:tcW w:w="2394" w:type="dxa"/>
          </w:tcPr>
          <w:p w:rsidR="00A8562B" w:rsidRPr="006A63AF" w:rsidRDefault="00A8562B" w:rsidP="006A63AF">
            <w:pPr>
              <w:contextualSpacing/>
              <w:rPr>
                <w:rFonts w:ascii="Garamond" w:hAnsi="Garamond"/>
              </w:rPr>
            </w:pPr>
            <w:r w:rsidRPr="006A63AF">
              <w:rPr>
                <w:rFonts w:ascii="Garamond" w:hAnsi="Garamond"/>
              </w:rPr>
              <w:t>7.3%</w:t>
            </w:r>
          </w:p>
        </w:tc>
        <w:tc>
          <w:tcPr>
            <w:tcW w:w="2394" w:type="dxa"/>
          </w:tcPr>
          <w:p w:rsidR="00A8562B" w:rsidRPr="006A63AF" w:rsidRDefault="00A8562B" w:rsidP="006A63AF">
            <w:pPr>
              <w:contextualSpacing/>
              <w:rPr>
                <w:rFonts w:ascii="Garamond" w:hAnsi="Garamond"/>
              </w:rPr>
            </w:pPr>
            <w:r w:rsidRPr="006A63AF">
              <w:rPr>
                <w:rFonts w:ascii="Garamond" w:hAnsi="Garamond"/>
              </w:rPr>
              <w:t>4.3%</w:t>
            </w:r>
          </w:p>
        </w:tc>
        <w:tc>
          <w:tcPr>
            <w:tcW w:w="2394" w:type="dxa"/>
          </w:tcPr>
          <w:p w:rsidR="00A8562B" w:rsidRPr="006A63AF" w:rsidRDefault="00A8562B" w:rsidP="006A63AF">
            <w:pPr>
              <w:contextualSpacing/>
              <w:rPr>
                <w:rFonts w:ascii="Garamond" w:hAnsi="Garamond"/>
              </w:rPr>
            </w:pPr>
            <w:r w:rsidRPr="006A63AF">
              <w:rPr>
                <w:rFonts w:ascii="Garamond" w:hAnsi="Garamond"/>
              </w:rPr>
              <w:t>11.7%</w:t>
            </w:r>
          </w:p>
        </w:tc>
      </w:tr>
      <w:tr w:rsidR="00A8562B" w:rsidRPr="006A63AF" w:rsidTr="001B6FFE">
        <w:tc>
          <w:tcPr>
            <w:tcW w:w="2394" w:type="dxa"/>
          </w:tcPr>
          <w:p w:rsidR="00A8562B" w:rsidRPr="006A63AF" w:rsidRDefault="00A8562B" w:rsidP="006A63AF">
            <w:pPr>
              <w:contextualSpacing/>
              <w:rPr>
                <w:rFonts w:ascii="Garamond" w:hAnsi="Garamond"/>
              </w:rPr>
            </w:pPr>
            <w:r w:rsidRPr="006A63AF">
              <w:rPr>
                <w:rFonts w:ascii="Garamond" w:hAnsi="Garamond"/>
              </w:rPr>
              <w:t>30% to 34.9%</w:t>
            </w:r>
          </w:p>
        </w:tc>
        <w:tc>
          <w:tcPr>
            <w:tcW w:w="2394" w:type="dxa"/>
          </w:tcPr>
          <w:p w:rsidR="00A8562B" w:rsidRPr="006A63AF" w:rsidRDefault="00A8562B" w:rsidP="006A63AF">
            <w:pPr>
              <w:contextualSpacing/>
              <w:rPr>
                <w:rFonts w:ascii="Garamond" w:hAnsi="Garamond"/>
              </w:rPr>
            </w:pPr>
            <w:r w:rsidRPr="006A63AF">
              <w:rPr>
                <w:rFonts w:ascii="Garamond" w:hAnsi="Garamond"/>
              </w:rPr>
              <w:t>9.2%</w:t>
            </w:r>
          </w:p>
        </w:tc>
        <w:tc>
          <w:tcPr>
            <w:tcW w:w="2394" w:type="dxa"/>
          </w:tcPr>
          <w:p w:rsidR="00A8562B" w:rsidRPr="006A63AF" w:rsidRDefault="00A8562B" w:rsidP="006A63AF">
            <w:pPr>
              <w:contextualSpacing/>
              <w:rPr>
                <w:rFonts w:ascii="Garamond" w:hAnsi="Garamond"/>
              </w:rPr>
            </w:pPr>
            <w:r w:rsidRPr="006A63AF">
              <w:rPr>
                <w:rFonts w:ascii="Garamond" w:hAnsi="Garamond"/>
              </w:rPr>
              <w:t>4.6%</w:t>
            </w:r>
          </w:p>
        </w:tc>
        <w:tc>
          <w:tcPr>
            <w:tcW w:w="2394" w:type="dxa"/>
          </w:tcPr>
          <w:p w:rsidR="00A8562B" w:rsidRPr="006A63AF" w:rsidRDefault="00A8562B" w:rsidP="006A63AF">
            <w:pPr>
              <w:contextualSpacing/>
              <w:rPr>
                <w:rFonts w:ascii="Garamond" w:hAnsi="Garamond"/>
              </w:rPr>
            </w:pPr>
            <w:r w:rsidRPr="006A63AF">
              <w:rPr>
                <w:rFonts w:ascii="Garamond" w:hAnsi="Garamond"/>
              </w:rPr>
              <w:t>3.5%</w:t>
            </w:r>
          </w:p>
        </w:tc>
      </w:tr>
      <w:tr w:rsidR="00A8562B" w:rsidRPr="006A63AF" w:rsidTr="001B6FFE">
        <w:tc>
          <w:tcPr>
            <w:tcW w:w="2394" w:type="dxa"/>
          </w:tcPr>
          <w:p w:rsidR="00A8562B" w:rsidRPr="006A63AF" w:rsidRDefault="00A8562B" w:rsidP="006A63AF">
            <w:pPr>
              <w:contextualSpacing/>
              <w:rPr>
                <w:rFonts w:ascii="Garamond" w:hAnsi="Garamond"/>
              </w:rPr>
            </w:pPr>
            <w:r w:rsidRPr="006A63AF">
              <w:rPr>
                <w:rFonts w:ascii="Garamond" w:hAnsi="Garamond"/>
              </w:rPr>
              <w:t>35% or more</w:t>
            </w:r>
          </w:p>
        </w:tc>
        <w:tc>
          <w:tcPr>
            <w:tcW w:w="2394" w:type="dxa"/>
          </w:tcPr>
          <w:p w:rsidR="00A8562B" w:rsidRPr="006A63AF" w:rsidRDefault="00A8562B" w:rsidP="006A63AF">
            <w:pPr>
              <w:contextualSpacing/>
              <w:rPr>
                <w:rFonts w:ascii="Garamond" w:hAnsi="Garamond"/>
              </w:rPr>
            </w:pPr>
            <w:r w:rsidRPr="006A63AF">
              <w:rPr>
                <w:rFonts w:ascii="Garamond" w:hAnsi="Garamond"/>
              </w:rPr>
              <w:t>26.4%</w:t>
            </w:r>
          </w:p>
        </w:tc>
        <w:tc>
          <w:tcPr>
            <w:tcW w:w="2394" w:type="dxa"/>
          </w:tcPr>
          <w:p w:rsidR="00A8562B" w:rsidRPr="006A63AF" w:rsidRDefault="00A8562B" w:rsidP="006A63AF">
            <w:pPr>
              <w:contextualSpacing/>
              <w:rPr>
                <w:rFonts w:ascii="Garamond" w:hAnsi="Garamond"/>
              </w:rPr>
            </w:pPr>
            <w:r w:rsidRPr="006A63AF">
              <w:rPr>
                <w:rFonts w:ascii="Garamond" w:hAnsi="Garamond"/>
              </w:rPr>
              <w:t>11.4%</w:t>
            </w:r>
          </w:p>
        </w:tc>
        <w:tc>
          <w:tcPr>
            <w:tcW w:w="2394" w:type="dxa"/>
          </w:tcPr>
          <w:p w:rsidR="00A8562B" w:rsidRPr="006A63AF" w:rsidRDefault="00A8562B" w:rsidP="007941A2">
            <w:pPr>
              <w:keepNext/>
              <w:contextualSpacing/>
              <w:rPr>
                <w:rFonts w:ascii="Garamond" w:hAnsi="Garamond"/>
              </w:rPr>
            </w:pPr>
            <w:r w:rsidRPr="006A63AF">
              <w:rPr>
                <w:rFonts w:ascii="Garamond" w:hAnsi="Garamond"/>
              </w:rPr>
              <w:t>20.3%</w:t>
            </w:r>
          </w:p>
        </w:tc>
      </w:tr>
    </w:tbl>
    <w:p w:rsidR="007941A2" w:rsidRDefault="007941A2">
      <w:pPr>
        <w:pStyle w:val="Caption"/>
      </w:pPr>
      <w:r>
        <w:t xml:space="preserve">Figure </w:t>
      </w:r>
      <w:fldSimple w:instr=" SEQ Figure \* ARABIC ">
        <w:r w:rsidR="00707511">
          <w:rPr>
            <w:noProof/>
          </w:rPr>
          <w:t>15</w:t>
        </w:r>
      </w:fldSimple>
    </w:p>
    <w:p w:rsidR="00A8562B" w:rsidRPr="006A63AF" w:rsidRDefault="00A8562B" w:rsidP="006A63AF">
      <w:pPr>
        <w:spacing w:line="240" w:lineRule="auto"/>
        <w:contextualSpacing/>
      </w:pPr>
      <w:r w:rsidRPr="006A63AF">
        <w:t>There are 4,095 vacant housing units out of 8,531 in Fremont County representing 48% of available housing with vacancies.</w:t>
      </w:r>
      <w:r w:rsidRPr="006A63AF">
        <w:rPr>
          <w:rStyle w:val="FootnoteReference"/>
        </w:rPr>
        <w:footnoteReference w:id="21"/>
      </w:r>
      <w:r w:rsidRPr="006A63AF">
        <w:t xml:space="preserve"> Most of these vacancies are probably due to unused vacation homes or rental units. There are 740 homes for sale on Zillow.com </w:t>
      </w:r>
      <w:r w:rsidRPr="006A63AF">
        <w:rPr>
          <w:rStyle w:val="FootnoteReference"/>
        </w:rPr>
        <w:footnoteReference w:id="22"/>
      </w:r>
    </w:p>
    <w:p w:rsidR="00AA2CEB" w:rsidRDefault="00AA2CEB">
      <w:pPr>
        <w:rPr>
          <w:rFonts w:eastAsiaTheme="majorEastAsia" w:cstheme="majorBidi"/>
          <w:b/>
          <w:bCs/>
          <w:color w:val="556508"/>
          <w:sz w:val="26"/>
          <w:szCs w:val="26"/>
        </w:rPr>
      </w:pPr>
      <w:r>
        <w:br w:type="page"/>
      </w:r>
    </w:p>
    <w:p w:rsidR="00A8562B" w:rsidRPr="006A63AF" w:rsidRDefault="00A8562B" w:rsidP="006A63AF">
      <w:pPr>
        <w:pStyle w:val="Heading2"/>
        <w:spacing w:line="240" w:lineRule="auto"/>
        <w:contextualSpacing/>
      </w:pPr>
      <w:bookmarkStart w:id="7" w:name="_Toc329954134"/>
      <w:r w:rsidRPr="006A63AF">
        <w:lastRenderedPageBreak/>
        <w:t>Teton County, Idaho</w:t>
      </w:r>
      <w:bookmarkEnd w:id="7"/>
    </w:p>
    <w:p w:rsidR="00764386" w:rsidRDefault="00764386"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Population</w:t>
      </w:r>
    </w:p>
    <w:p w:rsidR="00A8562B" w:rsidRPr="006A63AF" w:rsidRDefault="00A8562B" w:rsidP="006A63AF">
      <w:pPr>
        <w:spacing w:line="240" w:lineRule="auto"/>
        <w:contextualSpacing/>
      </w:pPr>
      <w:r w:rsidRPr="006A63AF">
        <w:t xml:space="preserve">The 2010 United Census reports that the population in Teton, County, </w:t>
      </w:r>
      <w:proofErr w:type="gramStart"/>
      <w:r w:rsidRPr="006A63AF">
        <w:t>Idaho</w:t>
      </w:r>
      <w:proofErr w:type="gramEnd"/>
      <w:r w:rsidRPr="006A63AF">
        <w:t xml:space="preserve"> is 10,170. Since the year 2000, Teton County’s population has experienced an increase of 69.5%.</w:t>
      </w:r>
      <w:r w:rsidRPr="006A63AF">
        <w:rPr>
          <w:vertAlign w:val="superscript"/>
        </w:rPr>
        <w:t xml:space="preserve"> </w:t>
      </w:r>
      <w:r w:rsidRPr="006A63AF">
        <w:rPr>
          <w:rStyle w:val="FootnoteReference"/>
        </w:rPr>
        <w:footnoteReference w:id="23"/>
      </w:r>
    </w:p>
    <w:p w:rsidR="00764386" w:rsidRDefault="00764386"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Age</w:t>
      </w:r>
    </w:p>
    <w:p w:rsidR="00A8562B" w:rsidRPr="00277F7A" w:rsidRDefault="00A8562B" w:rsidP="006A63AF">
      <w:pPr>
        <w:spacing w:line="240" w:lineRule="auto"/>
        <w:contextualSpacing/>
      </w:pPr>
      <w:r w:rsidRPr="006A63AF">
        <w:t>The median age of resident</w:t>
      </w:r>
      <w:r w:rsidR="00670D54">
        <w:t>s</w:t>
      </w:r>
      <w:r w:rsidRPr="006A63AF">
        <w:t xml:space="preserve"> in Teton County, Idaho is 33.9.</w:t>
      </w:r>
      <w:r w:rsidRPr="006A63AF">
        <w:rPr>
          <w:rStyle w:val="FootnoteReference"/>
        </w:rPr>
        <w:t xml:space="preserve"> </w:t>
      </w:r>
      <w:r w:rsidRPr="006A63AF">
        <w:rPr>
          <w:rStyle w:val="FootnoteReference"/>
        </w:rPr>
        <w:footnoteReference w:id="24"/>
      </w:r>
      <w:r w:rsidRPr="006A63AF">
        <w:rPr>
          <w:vertAlign w:val="superscript"/>
        </w:rPr>
        <w:t xml:space="preserve">  </w:t>
      </w:r>
      <w:r w:rsidR="001576A7">
        <w:t>Figure 16 shows</w:t>
      </w:r>
      <w:r w:rsidRPr="006A63AF">
        <w:t xml:space="preserve"> the age breakdown of the county population. </w:t>
      </w:r>
    </w:p>
    <w:tbl>
      <w:tblPr>
        <w:tblW w:w="2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060"/>
      </w:tblGrid>
      <w:tr w:rsidR="00A8562B" w:rsidRPr="006A63AF" w:rsidTr="001B6FFE">
        <w:trPr>
          <w:trHeight w:val="240"/>
          <w:jc w:val="center"/>
        </w:trPr>
        <w:tc>
          <w:tcPr>
            <w:tcW w:w="2120" w:type="dxa"/>
            <w:gridSpan w:val="2"/>
            <w:shd w:val="clear" w:color="auto" w:fill="auto"/>
            <w:noWrap/>
            <w:vAlign w:val="bottom"/>
          </w:tcPr>
          <w:p w:rsidR="00A8562B" w:rsidRPr="006A63AF" w:rsidRDefault="00A8562B" w:rsidP="006A63AF">
            <w:pPr>
              <w:spacing w:line="240" w:lineRule="auto"/>
              <w:contextualSpacing/>
              <w:jc w:val="center"/>
              <w:rPr>
                <w:szCs w:val="20"/>
              </w:rPr>
            </w:pPr>
            <w:r w:rsidRPr="006A63AF">
              <w:rPr>
                <w:szCs w:val="20"/>
              </w:rPr>
              <w:t>Teton County</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Age</w:t>
            </w:r>
          </w:p>
        </w:tc>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Number</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Under 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1,849</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10-19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1,358</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20-29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1,259</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30-39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1,908</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40-49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1,520</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50-59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1,184</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60-69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666</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70-79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278</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Over 80</w:t>
            </w:r>
          </w:p>
        </w:tc>
        <w:tc>
          <w:tcPr>
            <w:tcW w:w="1060" w:type="dxa"/>
            <w:shd w:val="clear" w:color="auto" w:fill="auto"/>
            <w:noWrap/>
            <w:vAlign w:val="bottom"/>
          </w:tcPr>
          <w:p w:rsidR="00A8562B" w:rsidRPr="006A63AF" w:rsidRDefault="00A8562B" w:rsidP="007941A2">
            <w:pPr>
              <w:keepNext/>
              <w:spacing w:line="240" w:lineRule="auto"/>
              <w:contextualSpacing/>
              <w:jc w:val="right"/>
              <w:rPr>
                <w:szCs w:val="20"/>
              </w:rPr>
            </w:pPr>
            <w:r w:rsidRPr="006A63AF">
              <w:rPr>
                <w:szCs w:val="20"/>
              </w:rPr>
              <w:t>148</w:t>
            </w:r>
          </w:p>
        </w:tc>
      </w:tr>
    </w:tbl>
    <w:p w:rsidR="00764386" w:rsidRDefault="007941A2" w:rsidP="007941A2">
      <w:pPr>
        <w:pStyle w:val="Caption"/>
        <w:rPr>
          <w:b w:val="0"/>
          <w:color w:val="4E5612"/>
          <w:sz w:val="25"/>
        </w:rPr>
      </w:pPr>
      <w:r>
        <w:tab/>
      </w:r>
      <w:r>
        <w:tab/>
      </w:r>
      <w:r>
        <w:tab/>
      </w:r>
      <w:r>
        <w:tab/>
      </w:r>
      <w:r>
        <w:tab/>
        <w:t xml:space="preserve">Figure </w:t>
      </w:r>
      <w:fldSimple w:instr=" SEQ Figure \* ARABIC ">
        <w:r w:rsidR="00707511">
          <w:rPr>
            <w:noProof/>
          </w:rPr>
          <w:t>16</w:t>
        </w:r>
      </w:fldSimple>
    </w:p>
    <w:p w:rsidR="00A8562B" w:rsidRPr="00764386" w:rsidRDefault="00A8562B" w:rsidP="006A63AF">
      <w:pPr>
        <w:spacing w:line="240" w:lineRule="auto"/>
        <w:contextualSpacing/>
        <w:rPr>
          <w:b/>
          <w:color w:val="4E5612"/>
          <w:sz w:val="25"/>
        </w:rPr>
      </w:pPr>
      <w:r w:rsidRPr="00764386">
        <w:rPr>
          <w:b/>
          <w:color w:val="4E5612"/>
          <w:sz w:val="25"/>
        </w:rPr>
        <w:t xml:space="preserve">Employment </w:t>
      </w:r>
    </w:p>
    <w:p w:rsidR="00A8562B" w:rsidRPr="006A63AF" w:rsidRDefault="00A8562B" w:rsidP="006A63AF">
      <w:pPr>
        <w:spacing w:line="240" w:lineRule="auto"/>
        <w:contextualSpacing/>
      </w:pPr>
      <w:r w:rsidRPr="006A63AF">
        <w:t>Of the 10,170 people residing in Teton County</w:t>
      </w:r>
      <w:r w:rsidR="00AA2CEB">
        <w:t>, Idaho</w:t>
      </w:r>
      <w:r w:rsidRPr="006A63AF">
        <w:t>, 7,002 are over 16 years of age. The labor force of Teton County is 5,667. Of that number, 5,422 are employed with 245 unemployed. Those who are employed and have to commute to work have a mean commute time of 24.6 minutes.</w:t>
      </w:r>
      <w:r w:rsidRPr="006A63AF">
        <w:rPr>
          <w:rStyle w:val="FootnoteReference"/>
        </w:rPr>
        <w:t xml:space="preserve"> </w:t>
      </w:r>
      <w:r w:rsidRPr="006A63AF">
        <w:rPr>
          <w:rStyle w:val="FootnoteReference"/>
        </w:rPr>
        <w:footnoteReference w:id="25"/>
      </w:r>
    </w:p>
    <w:p w:rsidR="00764386" w:rsidRDefault="00764386"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 xml:space="preserve">Income </w:t>
      </w:r>
    </w:p>
    <w:p w:rsidR="00355BC6" w:rsidRDefault="00670D54" w:rsidP="00355BC6">
      <w:pPr>
        <w:spacing w:line="240" w:lineRule="auto"/>
        <w:contextualSpacing/>
      </w:pPr>
      <w:r w:rsidRPr="006A63AF">
        <w:t>Of 3,786</w:t>
      </w:r>
      <w:r w:rsidR="00A8562B" w:rsidRPr="006A63AF">
        <w:t xml:space="preserve"> </w:t>
      </w:r>
      <w:r w:rsidR="001576A7">
        <w:t>households</w:t>
      </w:r>
      <w:r w:rsidR="00A8562B" w:rsidRPr="006A63AF">
        <w:t xml:space="preserve"> of Teton County, Idaho </w:t>
      </w:r>
      <w:r w:rsidR="001576A7">
        <w:t>Figure 17 shows</w:t>
      </w:r>
      <w:r w:rsidR="00A8562B" w:rsidRPr="006A63AF">
        <w:t xml:space="preserve"> a breakdown of their income. The Median household income is $53,364 with a mean household income of $61,276.</w:t>
      </w:r>
      <w:r w:rsidR="00A8562B" w:rsidRPr="006A63AF">
        <w:rPr>
          <w:rStyle w:val="FootnoteReference"/>
        </w:rPr>
        <w:t xml:space="preserve"> </w:t>
      </w:r>
      <w:r w:rsidR="00A8562B" w:rsidRPr="006A63AF">
        <w:rPr>
          <w:rStyle w:val="FootnoteReference"/>
        </w:rPr>
        <w:footnoteReference w:id="26"/>
      </w:r>
    </w:p>
    <w:p w:rsidR="00A8562B" w:rsidRPr="006A63AF" w:rsidRDefault="00A8562B" w:rsidP="00355BC6">
      <w:pPr>
        <w:spacing w:line="240" w:lineRule="auto"/>
        <w:contextualSpacing/>
      </w:pPr>
      <w:r w:rsidRPr="006A63AF">
        <w:rPr>
          <w:b/>
        </w:rPr>
        <w:tab/>
        <w:t xml:space="preserve">     </w:t>
      </w:r>
    </w:p>
    <w:tbl>
      <w:tblPr>
        <w:tblW w:w="5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98"/>
        <w:gridCol w:w="2700"/>
      </w:tblGrid>
      <w:tr w:rsidR="00A8562B" w:rsidRPr="006A63AF" w:rsidTr="001B6FFE">
        <w:trPr>
          <w:jc w:val="center"/>
        </w:trPr>
        <w:tc>
          <w:tcPr>
            <w:tcW w:w="2898" w:type="dxa"/>
          </w:tcPr>
          <w:p w:rsidR="00A8562B" w:rsidRPr="006A63AF" w:rsidRDefault="00A8562B" w:rsidP="006A63AF">
            <w:pPr>
              <w:spacing w:line="240" w:lineRule="auto"/>
              <w:contextualSpacing/>
            </w:pPr>
            <w:r w:rsidRPr="006A63AF">
              <w:t>Income</w:t>
            </w:r>
          </w:p>
        </w:tc>
        <w:tc>
          <w:tcPr>
            <w:tcW w:w="2700" w:type="dxa"/>
          </w:tcPr>
          <w:p w:rsidR="00A8562B" w:rsidRPr="006A63AF" w:rsidRDefault="00A8562B" w:rsidP="006A63AF">
            <w:pPr>
              <w:spacing w:line="240" w:lineRule="auto"/>
              <w:contextualSpacing/>
              <w:jc w:val="center"/>
            </w:pPr>
            <w:r w:rsidRPr="006A63AF">
              <w:t>Households</w:t>
            </w:r>
          </w:p>
        </w:tc>
      </w:tr>
      <w:tr w:rsidR="00A8562B" w:rsidRPr="006A63AF" w:rsidTr="001B6FFE">
        <w:trPr>
          <w:jc w:val="center"/>
        </w:trPr>
        <w:tc>
          <w:tcPr>
            <w:tcW w:w="2898" w:type="dxa"/>
          </w:tcPr>
          <w:p w:rsidR="00A8562B" w:rsidRPr="006A63AF" w:rsidRDefault="00A8562B" w:rsidP="006A63AF">
            <w:pPr>
              <w:spacing w:line="240" w:lineRule="auto"/>
              <w:contextualSpacing/>
            </w:pPr>
            <w:r w:rsidRPr="006A63AF">
              <w:t>$0 to 9,999</w:t>
            </w:r>
          </w:p>
        </w:tc>
        <w:tc>
          <w:tcPr>
            <w:tcW w:w="2700" w:type="dxa"/>
          </w:tcPr>
          <w:p w:rsidR="00A8562B" w:rsidRPr="006A63AF" w:rsidRDefault="00A8562B" w:rsidP="006A63AF">
            <w:pPr>
              <w:spacing w:line="240" w:lineRule="auto"/>
              <w:contextualSpacing/>
              <w:jc w:val="center"/>
            </w:pPr>
            <w:r w:rsidRPr="006A63AF">
              <w:t>75</w:t>
            </w:r>
          </w:p>
        </w:tc>
      </w:tr>
      <w:tr w:rsidR="00A8562B" w:rsidRPr="006A63AF" w:rsidTr="001B6FFE">
        <w:trPr>
          <w:jc w:val="center"/>
        </w:trPr>
        <w:tc>
          <w:tcPr>
            <w:tcW w:w="2898" w:type="dxa"/>
          </w:tcPr>
          <w:p w:rsidR="00A8562B" w:rsidRPr="006A63AF" w:rsidRDefault="00A8562B" w:rsidP="006A63AF">
            <w:pPr>
              <w:spacing w:line="240" w:lineRule="auto"/>
              <w:contextualSpacing/>
            </w:pPr>
            <w:r w:rsidRPr="006A63AF">
              <w:t>$10,000 to $24,999</w:t>
            </w:r>
          </w:p>
        </w:tc>
        <w:tc>
          <w:tcPr>
            <w:tcW w:w="2700" w:type="dxa"/>
          </w:tcPr>
          <w:p w:rsidR="00A8562B" w:rsidRPr="006A63AF" w:rsidRDefault="00A8562B" w:rsidP="006A63AF">
            <w:pPr>
              <w:spacing w:line="240" w:lineRule="auto"/>
              <w:contextualSpacing/>
              <w:jc w:val="center"/>
            </w:pPr>
            <w:r w:rsidRPr="006A63AF">
              <w:t>652</w:t>
            </w:r>
          </w:p>
        </w:tc>
      </w:tr>
      <w:tr w:rsidR="00A8562B" w:rsidRPr="006A63AF" w:rsidTr="001B6FFE">
        <w:trPr>
          <w:jc w:val="center"/>
        </w:trPr>
        <w:tc>
          <w:tcPr>
            <w:tcW w:w="2898" w:type="dxa"/>
          </w:tcPr>
          <w:p w:rsidR="00A8562B" w:rsidRPr="006A63AF" w:rsidRDefault="00A8562B" w:rsidP="006A63AF">
            <w:pPr>
              <w:spacing w:line="240" w:lineRule="auto"/>
              <w:contextualSpacing/>
            </w:pPr>
            <w:r w:rsidRPr="006A63AF">
              <w:t>$25,000 to $49,999</w:t>
            </w:r>
          </w:p>
        </w:tc>
        <w:tc>
          <w:tcPr>
            <w:tcW w:w="2700" w:type="dxa"/>
          </w:tcPr>
          <w:p w:rsidR="00A8562B" w:rsidRPr="006A63AF" w:rsidRDefault="00A8562B" w:rsidP="006A63AF">
            <w:pPr>
              <w:spacing w:line="240" w:lineRule="auto"/>
              <w:contextualSpacing/>
              <w:jc w:val="center"/>
            </w:pPr>
            <w:r w:rsidRPr="006A63AF">
              <w:t>1,028</w:t>
            </w:r>
          </w:p>
        </w:tc>
      </w:tr>
      <w:tr w:rsidR="00A8562B" w:rsidRPr="006A63AF" w:rsidTr="001B6FFE">
        <w:trPr>
          <w:jc w:val="center"/>
        </w:trPr>
        <w:tc>
          <w:tcPr>
            <w:tcW w:w="2898" w:type="dxa"/>
          </w:tcPr>
          <w:p w:rsidR="00A8562B" w:rsidRPr="006A63AF" w:rsidRDefault="00A8562B" w:rsidP="006A63AF">
            <w:pPr>
              <w:spacing w:line="240" w:lineRule="auto"/>
              <w:contextualSpacing/>
            </w:pPr>
            <w:r w:rsidRPr="006A63AF">
              <w:t>$50,000 to $74,999</w:t>
            </w:r>
          </w:p>
        </w:tc>
        <w:tc>
          <w:tcPr>
            <w:tcW w:w="2700" w:type="dxa"/>
          </w:tcPr>
          <w:p w:rsidR="00A8562B" w:rsidRPr="006A63AF" w:rsidRDefault="00A8562B" w:rsidP="006A63AF">
            <w:pPr>
              <w:spacing w:line="240" w:lineRule="auto"/>
              <w:contextualSpacing/>
              <w:jc w:val="center"/>
            </w:pPr>
            <w:r w:rsidRPr="006A63AF">
              <w:t>952</w:t>
            </w:r>
          </w:p>
        </w:tc>
      </w:tr>
      <w:tr w:rsidR="00A8562B" w:rsidRPr="006A63AF" w:rsidTr="001B6FFE">
        <w:trPr>
          <w:jc w:val="center"/>
        </w:trPr>
        <w:tc>
          <w:tcPr>
            <w:tcW w:w="2898" w:type="dxa"/>
          </w:tcPr>
          <w:p w:rsidR="00A8562B" w:rsidRPr="006A63AF" w:rsidRDefault="00A8562B" w:rsidP="006A63AF">
            <w:pPr>
              <w:spacing w:line="240" w:lineRule="auto"/>
              <w:contextualSpacing/>
            </w:pPr>
            <w:r w:rsidRPr="006A63AF">
              <w:t>$75,000 to $99,999</w:t>
            </w:r>
          </w:p>
        </w:tc>
        <w:tc>
          <w:tcPr>
            <w:tcW w:w="2700" w:type="dxa"/>
          </w:tcPr>
          <w:p w:rsidR="00A8562B" w:rsidRPr="006A63AF" w:rsidRDefault="00A8562B" w:rsidP="006A63AF">
            <w:pPr>
              <w:spacing w:line="240" w:lineRule="auto"/>
              <w:contextualSpacing/>
              <w:jc w:val="center"/>
            </w:pPr>
            <w:r w:rsidRPr="006A63AF">
              <w:t>912</w:t>
            </w:r>
          </w:p>
        </w:tc>
      </w:tr>
      <w:tr w:rsidR="00A8562B" w:rsidRPr="006A63AF" w:rsidTr="001B6FFE">
        <w:trPr>
          <w:jc w:val="center"/>
        </w:trPr>
        <w:tc>
          <w:tcPr>
            <w:tcW w:w="2898" w:type="dxa"/>
          </w:tcPr>
          <w:p w:rsidR="00A8562B" w:rsidRPr="006A63AF" w:rsidRDefault="00A8562B" w:rsidP="006A63AF">
            <w:pPr>
              <w:spacing w:line="240" w:lineRule="auto"/>
              <w:contextualSpacing/>
            </w:pPr>
            <w:r w:rsidRPr="006A63AF">
              <w:t>$100,000 and Above</w:t>
            </w:r>
          </w:p>
        </w:tc>
        <w:tc>
          <w:tcPr>
            <w:tcW w:w="2700" w:type="dxa"/>
          </w:tcPr>
          <w:p w:rsidR="00A8562B" w:rsidRPr="006A63AF" w:rsidRDefault="00A8562B" w:rsidP="007941A2">
            <w:pPr>
              <w:keepNext/>
              <w:spacing w:line="240" w:lineRule="auto"/>
              <w:contextualSpacing/>
              <w:jc w:val="center"/>
            </w:pPr>
            <w:r w:rsidRPr="006A63AF">
              <w:t>535</w:t>
            </w:r>
          </w:p>
        </w:tc>
      </w:tr>
    </w:tbl>
    <w:p w:rsidR="00764386" w:rsidRDefault="007941A2" w:rsidP="007941A2">
      <w:pPr>
        <w:pStyle w:val="Caption"/>
        <w:rPr>
          <w:b w:val="0"/>
          <w:color w:val="4E5612"/>
          <w:sz w:val="25"/>
        </w:rPr>
      </w:pPr>
      <w:r>
        <w:tab/>
      </w:r>
      <w:r>
        <w:tab/>
        <w:t xml:space="preserve">          Figure </w:t>
      </w:r>
      <w:fldSimple w:instr=" SEQ Figure \* ARABIC ">
        <w:r w:rsidR="00707511">
          <w:rPr>
            <w:noProof/>
          </w:rPr>
          <w:t>17</w:t>
        </w:r>
      </w:fldSimple>
    </w:p>
    <w:p w:rsidR="00A76E8D" w:rsidRPr="00764386" w:rsidRDefault="00A76E8D" w:rsidP="006A63AF">
      <w:pPr>
        <w:spacing w:line="240" w:lineRule="auto"/>
        <w:contextualSpacing/>
        <w:rPr>
          <w:b/>
          <w:color w:val="4E5612"/>
          <w:sz w:val="25"/>
        </w:rPr>
      </w:pPr>
      <w:r w:rsidRPr="00764386">
        <w:rPr>
          <w:b/>
          <w:color w:val="4E5612"/>
          <w:sz w:val="25"/>
        </w:rPr>
        <w:lastRenderedPageBreak/>
        <w:t>Home Values</w:t>
      </w:r>
    </w:p>
    <w:p w:rsidR="00A76E8D" w:rsidRDefault="00A76E8D" w:rsidP="006A63AF">
      <w:pPr>
        <w:spacing w:line="240" w:lineRule="auto"/>
        <w:contextualSpacing/>
      </w:pPr>
      <w:r w:rsidRPr="006A63AF">
        <w:t>The value of homes in Teton County is significantly higher with 82.1 percent of the homes valued at 200,000 or more. The following data was given from the U.S. Census Bureau in 2010:</w:t>
      </w:r>
    </w:p>
    <w:p w:rsidR="00355BC6" w:rsidRPr="006A63AF" w:rsidRDefault="00355BC6" w:rsidP="006A63AF">
      <w:pPr>
        <w:spacing w:line="240" w:lineRule="auto"/>
        <w:contextualSpacing/>
      </w:pPr>
    </w:p>
    <w:tbl>
      <w:tblPr>
        <w:tblStyle w:val="TableGrid"/>
        <w:tblpPr w:leftFromText="180" w:rightFromText="180" w:vertAnchor="text" w:tblpY="1"/>
        <w:tblOverlap w:val="neve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14"/>
        <w:gridCol w:w="3206"/>
        <w:gridCol w:w="2886"/>
      </w:tblGrid>
      <w:tr w:rsidR="00A76E8D" w:rsidRPr="006A63AF" w:rsidTr="001B6FFE">
        <w:trPr>
          <w:trHeight w:val="275"/>
        </w:trPr>
        <w:tc>
          <w:tcPr>
            <w:tcW w:w="3014" w:type="dxa"/>
          </w:tcPr>
          <w:p w:rsidR="00A76E8D" w:rsidRPr="006A63AF" w:rsidRDefault="00A76E8D" w:rsidP="006A63AF">
            <w:pPr>
              <w:contextualSpacing/>
              <w:rPr>
                <w:rFonts w:ascii="Garamond" w:hAnsi="Garamond"/>
                <w:b/>
              </w:rPr>
            </w:pPr>
            <w:r w:rsidRPr="006A63AF">
              <w:rPr>
                <w:rFonts w:ascii="Garamond" w:hAnsi="Garamond"/>
                <w:b/>
              </w:rPr>
              <w:t>Value</w:t>
            </w:r>
          </w:p>
        </w:tc>
        <w:tc>
          <w:tcPr>
            <w:tcW w:w="3206" w:type="dxa"/>
          </w:tcPr>
          <w:p w:rsidR="00A76E8D" w:rsidRPr="006A63AF" w:rsidRDefault="00A76E8D" w:rsidP="006A63AF">
            <w:pPr>
              <w:contextualSpacing/>
              <w:jc w:val="center"/>
              <w:rPr>
                <w:rFonts w:ascii="Garamond" w:hAnsi="Garamond"/>
                <w:b/>
              </w:rPr>
            </w:pPr>
            <w:r w:rsidRPr="006A63AF">
              <w:rPr>
                <w:rFonts w:ascii="Garamond" w:hAnsi="Garamond"/>
                <w:b/>
              </w:rPr>
              <w:t>Owner Occupied Units</w:t>
            </w:r>
          </w:p>
        </w:tc>
        <w:tc>
          <w:tcPr>
            <w:tcW w:w="2886" w:type="dxa"/>
          </w:tcPr>
          <w:p w:rsidR="00A76E8D" w:rsidRPr="006A63AF" w:rsidRDefault="00A76E8D" w:rsidP="006A63AF">
            <w:pPr>
              <w:contextualSpacing/>
              <w:jc w:val="center"/>
              <w:rPr>
                <w:rFonts w:ascii="Garamond" w:hAnsi="Garamond"/>
                <w:b/>
              </w:rPr>
            </w:pPr>
            <w:r w:rsidRPr="006A63AF">
              <w:rPr>
                <w:rFonts w:ascii="Garamond" w:hAnsi="Garamond"/>
                <w:b/>
              </w:rPr>
              <w:t>Percentage of Population</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0 to $49,999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186</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8.2%</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$50,000 to $99,999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150</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6.6%</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$100,000 to $149,999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107</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4.7%</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$150,000 to $199,999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130</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5.7%</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$200,000 to $299,999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584</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25.8%</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$300,000 to $499,999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701</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31.0%</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$500,000 to $999,999</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327</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14.5%</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$1,000,000 or more</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76</w:t>
            </w:r>
          </w:p>
        </w:tc>
        <w:tc>
          <w:tcPr>
            <w:tcW w:w="2886" w:type="dxa"/>
          </w:tcPr>
          <w:p w:rsidR="00A76E8D" w:rsidRPr="006A63AF" w:rsidRDefault="00A76E8D" w:rsidP="006A63AF">
            <w:pPr>
              <w:contextualSpacing/>
              <w:jc w:val="center"/>
              <w:rPr>
                <w:rFonts w:ascii="Garamond" w:hAnsi="Garamond"/>
              </w:rPr>
            </w:pPr>
            <w:r w:rsidRPr="006A63AF">
              <w:rPr>
                <w:rFonts w:ascii="Garamond" w:hAnsi="Garamond"/>
              </w:rPr>
              <w:t>3.4%</w:t>
            </w:r>
          </w:p>
        </w:tc>
      </w:tr>
      <w:tr w:rsidR="00A76E8D" w:rsidRPr="006A63AF" w:rsidTr="001B6FFE">
        <w:trPr>
          <w:trHeight w:val="275"/>
        </w:trPr>
        <w:tc>
          <w:tcPr>
            <w:tcW w:w="3014" w:type="dxa"/>
          </w:tcPr>
          <w:p w:rsidR="00A76E8D" w:rsidRPr="006A63AF" w:rsidRDefault="00A76E8D" w:rsidP="006A63AF">
            <w:pPr>
              <w:contextualSpacing/>
              <w:rPr>
                <w:rFonts w:ascii="Garamond" w:hAnsi="Garamond"/>
              </w:rPr>
            </w:pPr>
            <w:r w:rsidRPr="006A63AF">
              <w:rPr>
                <w:rFonts w:ascii="Garamond" w:hAnsi="Garamond"/>
              </w:rPr>
              <w:t>Total</w:t>
            </w:r>
          </w:p>
        </w:tc>
        <w:tc>
          <w:tcPr>
            <w:tcW w:w="3206" w:type="dxa"/>
          </w:tcPr>
          <w:p w:rsidR="00A76E8D" w:rsidRPr="006A63AF" w:rsidRDefault="00A76E8D" w:rsidP="006A63AF">
            <w:pPr>
              <w:contextualSpacing/>
              <w:jc w:val="center"/>
              <w:rPr>
                <w:rFonts w:ascii="Garamond" w:hAnsi="Garamond"/>
              </w:rPr>
            </w:pPr>
            <w:r w:rsidRPr="006A63AF">
              <w:rPr>
                <w:rFonts w:ascii="Garamond" w:hAnsi="Garamond"/>
              </w:rPr>
              <w:t>2,261</w:t>
            </w:r>
          </w:p>
        </w:tc>
        <w:tc>
          <w:tcPr>
            <w:tcW w:w="2886" w:type="dxa"/>
          </w:tcPr>
          <w:p w:rsidR="00A76E8D" w:rsidRPr="006A63AF" w:rsidRDefault="00A76E8D" w:rsidP="007941A2">
            <w:pPr>
              <w:keepNext/>
              <w:contextualSpacing/>
              <w:jc w:val="center"/>
              <w:rPr>
                <w:rFonts w:ascii="Garamond" w:hAnsi="Garamond"/>
              </w:rPr>
            </w:pPr>
            <w:r w:rsidRPr="006A63AF">
              <w:rPr>
                <w:rFonts w:ascii="Garamond" w:hAnsi="Garamond"/>
              </w:rPr>
              <w:t>100%</w:t>
            </w:r>
          </w:p>
        </w:tc>
      </w:tr>
    </w:tbl>
    <w:p w:rsidR="007941A2" w:rsidRDefault="007941A2" w:rsidP="007941A2">
      <w:pPr>
        <w:pStyle w:val="Caption"/>
        <w:framePr w:hSpace="180" w:wrap="around" w:vAnchor="text" w:hAnchor="text" w:y="1"/>
        <w:suppressOverlap/>
      </w:pPr>
      <w:r>
        <w:t xml:space="preserve">Figure </w:t>
      </w:r>
      <w:fldSimple w:instr=" SEQ Figure \* ARABIC ">
        <w:r w:rsidR="00707511">
          <w:rPr>
            <w:noProof/>
          </w:rPr>
          <w:t>18</w:t>
        </w:r>
      </w:fldSimple>
    </w:p>
    <w:p w:rsidR="007941A2" w:rsidRDefault="007941A2" w:rsidP="006A63AF">
      <w:pPr>
        <w:spacing w:line="240" w:lineRule="auto"/>
        <w:contextualSpacing/>
        <w:rPr>
          <w:b/>
          <w:color w:val="4E5612"/>
          <w:sz w:val="25"/>
        </w:rPr>
      </w:pPr>
    </w:p>
    <w:p w:rsidR="00277F7A" w:rsidRDefault="00277F7A"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Housing Costs</w:t>
      </w:r>
    </w:p>
    <w:tbl>
      <w:tblPr>
        <w:tblStyle w:val="TableGrid"/>
        <w:tblpPr w:leftFromText="180" w:rightFromText="180" w:vertAnchor="text" w:horzAnchor="page" w:tblpX="1549" w:tblpY="8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52"/>
        <w:gridCol w:w="2266"/>
        <w:gridCol w:w="2266"/>
        <w:gridCol w:w="2219"/>
      </w:tblGrid>
      <w:tr w:rsidR="00EE571F" w:rsidRPr="006A63AF" w:rsidTr="001B6FFE">
        <w:trPr>
          <w:trHeight w:val="533"/>
        </w:trPr>
        <w:tc>
          <w:tcPr>
            <w:tcW w:w="2252" w:type="dxa"/>
          </w:tcPr>
          <w:p w:rsidR="00EE571F" w:rsidRPr="006A63AF" w:rsidRDefault="00EE571F" w:rsidP="00EE571F">
            <w:pPr>
              <w:contextualSpacing/>
              <w:rPr>
                <w:rFonts w:ascii="Garamond" w:hAnsi="Garamond"/>
                <w:b/>
              </w:rPr>
            </w:pPr>
            <w:r w:rsidRPr="006A63AF">
              <w:rPr>
                <w:rFonts w:ascii="Garamond" w:hAnsi="Garamond"/>
                <w:b/>
              </w:rPr>
              <w:t>Percent of Income Spent on Housing</w:t>
            </w:r>
          </w:p>
        </w:tc>
        <w:tc>
          <w:tcPr>
            <w:tcW w:w="2266" w:type="dxa"/>
          </w:tcPr>
          <w:p w:rsidR="00EE571F" w:rsidRPr="006A63AF" w:rsidRDefault="00EE571F" w:rsidP="00EE571F">
            <w:pPr>
              <w:contextualSpacing/>
              <w:rPr>
                <w:rFonts w:ascii="Garamond" w:hAnsi="Garamond"/>
                <w:b/>
              </w:rPr>
            </w:pPr>
            <w:r w:rsidRPr="006A63AF">
              <w:rPr>
                <w:rFonts w:ascii="Garamond" w:hAnsi="Garamond"/>
                <w:b/>
              </w:rPr>
              <w:t>Housing Costs with a Mortgage</w:t>
            </w:r>
          </w:p>
        </w:tc>
        <w:tc>
          <w:tcPr>
            <w:tcW w:w="2266" w:type="dxa"/>
          </w:tcPr>
          <w:p w:rsidR="00EE571F" w:rsidRPr="006A63AF" w:rsidRDefault="00EE571F" w:rsidP="00EE571F">
            <w:pPr>
              <w:contextualSpacing/>
              <w:rPr>
                <w:rFonts w:ascii="Garamond" w:hAnsi="Garamond"/>
                <w:b/>
              </w:rPr>
            </w:pPr>
            <w:r w:rsidRPr="006A63AF">
              <w:rPr>
                <w:rFonts w:ascii="Garamond" w:hAnsi="Garamond"/>
                <w:b/>
              </w:rPr>
              <w:t>Housing Costs without a Mortgage</w:t>
            </w:r>
          </w:p>
        </w:tc>
        <w:tc>
          <w:tcPr>
            <w:tcW w:w="2219" w:type="dxa"/>
          </w:tcPr>
          <w:p w:rsidR="00EE571F" w:rsidRPr="006A63AF" w:rsidRDefault="00EE571F" w:rsidP="00EE571F">
            <w:pPr>
              <w:contextualSpacing/>
              <w:rPr>
                <w:rFonts w:ascii="Garamond" w:hAnsi="Garamond"/>
                <w:b/>
              </w:rPr>
            </w:pPr>
            <w:r w:rsidRPr="006A63AF">
              <w:rPr>
                <w:rFonts w:ascii="Garamond" w:hAnsi="Garamond"/>
                <w:b/>
              </w:rPr>
              <w:t>Rental Costs</w:t>
            </w:r>
          </w:p>
        </w:tc>
      </w:tr>
      <w:tr w:rsidR="00EE571F" w:rsidRPr="006A63AF" w:rsidTr="001B6FFE">
        <w:trPr>
          <w:trHeight w:val="280"/>
        </w:trPr>
        <w:tc>
          <w:tcPr>
            <w:tcW w:w="2252" w:type="dxa"/>
          </w:tcPr>
          <w:p w:rsidR="00EE571F" w:rsidRPr="006A63AF" w:rsidRDefault="00EE571F" w:rsidP="00EE571F">
            <w:pPr>
              <w:contextualSpacing/>
              <w:rPr>
                <w:rFonts w:ascii="Garamond" w:hAnsi="Garamond"/>
              </w:rPr>
            </w:pPr>
            <w:r w:rsidRPr="006A63AF">
              <w:rPr>
                <w:rFonts w:ascii="Garamond" w:hAnsi="Garamond"/>
              </w:rPr>
              <w:t>Less than 20%</w:t>
            </w:r>
          </w:p>
        </w:tc>
        <w:tc>
          <w:tcPr>
            <w:tcW w:w="2266" w:type="dxa"/>
          </w:tcPr>
          <w:p w:rsidR="00EE571F" w:rsidRPr="006A63AF" w:rsidRDefault="00EE571F" w:rsidP="00EE571F">
            <w:pPr>
              <w:contextualSpacing/>
              <w:rPr>
                <w:rFonts w:ascii="Garamond" w:hAnsi="Garamond"/>
              </w:rPr>
            </w:pPr>
            <w:r w:rsidRPr="006A63AF">
              <w:rPr>
                <w:rFonts w:ascii="Garamond" w:hAnsi="Garamond"/>
              </w:rPr>
              <w:t>22.6%</w:t>
            </w:r>
          </w:p>
        </w:tc>
        <w:tc>
          <w:tcPr>
            <w:tcW w:w="2266" w:type="dxa"/>
          </w:tcPr>
          <w:p w:rsidR="00EE571F" w:rsidRPr="006A63AF" w:rsidRDefault="00EE571F" w:rsidP="00EE571F">
            <w:pPr>
              <w:contextualSpacing/>
              <w:rPr>
                <w:rFonts w:ascii="Garamond" w:hAnsi="Garamond"/>
              </w:rPr>
            </w:pPr>
            <w:r w:rsidRPr="006A63AF">
              <w:rPr>
                <w:rFonts w:ascii="Garamond" w:hAnsi="Garamond"/>
              </w:rPr>
              <w:t>85.6%</w:t>
            </w:r>
          </w:p>
        </w:tc>
        <w:tc>
          <w:tcPr>
            <w:tcW w:w="2219" w:type="dxa"/>
          </w:tcPr>
          <w:p w:rsidR="00EE571F" w:rsidRPr="006A63AF" w:rsidRDefault="00EE571F" w:rsidP="00EE571F">
            <w:pPr>
              <w:contextualSpacing/>
              <w:rPr>
                <w:rFonts w:ascii="Garamond" w:hAnsi="Garamond"/>
              </w:rPr>
            </w:pPr>
            <w:r w:rsidRPr="006A63AF">
              <w:rPr>
                <w:rFonts w:ascii="Garamond" w:hAnsi="Garamond"/>
              </w:rPr>
              <w:t>33.6%</w:t>
            </w:r>
          </w:p>
        </w:tc>
      </w:tr>
      <w:tr w:rsidR="00EE571F" w:rsidRPr="006A63AF" w:rsidTr="001B6FFE">
        <w:trPr>
          <w:trHeight w:val="280"/>
        </w:trPr>
        <w:tc>
          <w:tcPr>
            <w:tcW w:w="2252" w:type="dxa"/>
          </w:tcPr>
          <w:p w:rsidR="00EE571F" w:rsidRPr="006A63AF" w:rsidRDefault="00EE571F" w:rsidP="00EE571F">
            <w:pPr>
              <w:contextualSpacing/>
              <w:rPr>
                <w:rFonts w:ascii="Garamond" w:hAnsi="Garamond"/>
              </w:rPr>
            </w:pPr>
            <w:r w:rsidRPr="006A63AF">
              <w:rPr>
                <w:rFonts w:ascii="Garamond" w:hAnsi="Garamond"/>
              </w:rPr>
              <w:t>20% to 24.9%</w:t>
            </w:r>
          </w:p>
        </w:tc>
        <w:tc>
          <w:tcPr>
            <w:tcW w:w="2266" w:type="dxa"/>
          </w:tcPr>
          <w:p w:rsidR="00EE571F" w:rsidRPr="006A63AF" w:rsidRDefault="00EE571F" w:rsidP="00EE571F">
            <w:pPr>
              <w:contextualSpacing/>
              <w:rPr>
                <w:rFonts w:ascii="Garamond" w:hAnsi="Garamond"/>
              </w:rPr>
            </w:pPr>
            <w:r w:rsidRPr="006A63AF">
              <w:rPr>
                <w:rFonts w:ascii="Garamond" w:hAnsi="Garamond"/>
              </w:rPr>
              <w:t>9.9%</w:t>
            </w:r>
          </w:p>
        </w:tc>
        <w:tc>
          <w:tcPr>
            <w:tcW w:w="2266" w:type="dxa"/>
          </w:tcPr>
          <w:p w:rsidR="00EE571F" w:rsidRPr="006A63AF" w:rsidRDefault="00EE571F" w:rsidP="00EE571F">
            <w:pPr>
              <w:contextualSpacing/>
              <w:rPr>
                <w:rFonts w:ascii="Garamond" w:hAnsi="Garamond"/>
              </w:rPr>
            </w:pPr>
            <w:r w:rsidRPr="006A63AF">
              <w:rPr>
                <w:rFonts w:ascii="Garamond" w:hAnsi="Garamond"/>
              </w:rPr>
              <w:t>6.1%</w:t>
            </w:r>
          </w:p>
        </w:tc>
        <w:tc>
          <w:tcPr>
            <w:tcW w:w="2219" w:type="dxa"/>
          </w:tcPr>
          <w:p w:rsidR="00EE571F" w:rsidRPr="006A63AF" w:rsidRDefault="00EE571F" w:rsidP="00EE571F">
            <w:pPr>
              <w:contextualSpacing/>
              <w:rPr>
                <w:rFonts w:ascii="Garamond" w:hAnsi="Garamond"/>
              </w:rPr>
            </w:pPr>
            <w:r w:rsidRPr="006A63AF">
              <w:rPr>
                <w:rFonts w:ascii="Garamond" w:hAnsi="Garamond"/>
              </w:rPr>
              <w:t>21.8%</w:t>
            </w:r>
          </w:p>
        </w:tc>
      </w:tr>
      <w:tr w:rsidR="00EE571F" w:rsidRPr="006A63AF" w:rsidTr="001B6FFE">
        <w:trPr>
          <w:trHeight w:val="267"/>
        </w:trPr>
        <w:tc>
          <w:tcPr>
            <w:tcW w:w="2252" w:type="dxa"/>
          </w:tcPr>
          <w:p w:rsidR="00EE571F" w:rsidRPr="006A63AF" w:rsidRDefault="00EE571F" w:rsidP="00EE571F">
            <w:pPr>
              <w:contextualSpacing/>
              <w:rPr>
                <w:rFonts w:ascii="Garamond" w:hAnsi="Garamond"/>
              </w:rPr>
            </w:pPr>
            <w:r w:rsidRPr="006A63AF">
              <w:rPr>
                <w:rFonts w:ascii="Garamond" w:hAnsi="Garamond"/>
              </w:rPr>
              <w:t>25% to 29.9%</w:t>
            </w:r>
          </w:p>
        </w:tc>
        <w:tc>
          <w:tcPr>
            <w:tcW w:w="2266" w:type="dxa"/>
          </w:tcPr>
          <w:p w:rsidR="00EE571F" w:rsidRPr="006A63AF" w:rsidRDefault="00EE571F" w:rsidP="00EE571F">
            <w:pPr>
              <w:contextualSpacing/>
              <w:rPr>
                <w:rFonts w:ascii="Garamond" w:hAnsi="Garamond"/>
              </w:rPr>
            </w:pPr>
            <w:r w:rsidRPr="006A63AF">
              <w:rPr>
                <w:rFonts w:ascii="Garamond" w:hAnsi="Garamond"/>
              </w:rPr>
              <w:t>16.5%</w:t>
            </w:r>
          </w:p>
        </w:tc>
        <w:tc>
          <w:tcPr>
            <w:tcW w:w="2266" w:type="dxa"/>
          </w:tcPr>
          <w:p w:rsidR="00EE571F" w:rsidRPr="006A63AF" w:rsidRDefault="00EE571F" w:rsidP="00EE571F">
            <w:pPr>
              <w:contextualSpacing/>
              <w:rPr>
                <w:rFonts w:ascii="Garamond" w:hAnsi="Garamond"/>
              </w:rPr>
            </w:pPr>
            <w:r w:rsidRPr="006A63AF">
              <w:rPr>
                <w:rFonts w:ascii="Garamond" w:hAnsi="Garamond"/>
              </w:rPr>
              <w:t>3.9%</w:t>
            </w:r>
          </w:p>
        </w:tc>
        <w:tc>
          <w:tcPr>
            <w:tcW w:w="2219" w:type="dxa"/>
          </w:tcPr>
          <w:p w:rsidR="00EE571F" w:rsidRPr="006A63AF" w:rsidRDefault="00EE571F" w:rsidP="00EE571F">
            <w:pPr>
              <w:contextualSpacing/>
              <w:rPr>
                <w:rFonts w:ascii="Garamond" w:hAnsi="Garamond"/>
              </w:rPr>
            </w:pPr>
            <w:r w:rsidRPr="006A63AF">
              <w:rPr>
                <w:rFonts w:ascii="Garamond" w:hAnsi="Garamond"/>
              </w:rPr>
              <w:t>10.5%</w:t>
            </w:r>
          </w:p>
        </w:tc>
      </w:tr>
      <w:tr w:rsidR="00EE571F" w:rsidRPr="006A63AF" w:rsidTr="001B6FFE">
        <w:trPr>
          <w:trHeight w:val="267"/>
        </w:trPr>
        <w:tc>
          <w:tcPr>
            <w:tcW w:w="2252" w:type="dxa"/>
          </w:tcPr>
          <w:p w:rsidR="00EE571F" w:rsidRPr="006A63AF" w:rsidRDefault="00EE571F" w:rsidP="00EE571F">
            <w:pPr>
              <w:contextualSpacing/>
              <w:rPr>
                <w:rFonts w:ascii="Garamond" w:hAnsi="Garamond"/>
              </w:rPr>
            </w:pPr>
            <w:r w:rsidRPr="006A63AF">
              <w:rPr>
                <w:rFonts w:ascii="Garamond" w:hAnsi="Garamond"/>
              </w:rPr>
              <w:t>30% to 34.9%</w:t>
            </w:r>
          </w:p>
        </w:tc>
        <w:tc>
          <w:tcPr>
            <w:tcW w:w="2266" w:type="dxa"/>
          </w:tcPr>
          <w:p w:rsidR="00EE571F" w:rsidRPr="006A63AF" w:rsidRDefault="00EE571F" w:rsidP="00EE571F">
            <w:pPr>
              <w:contextualSpacing/>
              <w:rPr>
                <w:rFonts w:ascii="Garamond" w:hAnsi="Garamond"/>
              </w:rPr>
            </w:pPr>
            <w:r w:rsidRPr="006A63AF">
              <w:rPr>
                <w:rFonts w:ascii="Garamond" w:hAnsi="Garamond"/>
              </w:rPr>
              <w:t>8.2%</w:t>
            </w:r>
          </w:p>
        </w:tc>
        <w:tc>
          <w:tcPr>
            <w:tcW w:w="2266" w:type="dxa"/>
          </w:tcPr>
          <w:p w:rsidR="00EE571F" w:rsidRPr="006A63AF" w:rsidRDefault="00EE571F" w:rsidP="00EE571F">
            <w:pPr>
              <w:contextualSpacing/>
              <w:rPr>
                <w:rFonts w:ascii="Garamond" w:hAnsi="Garamond"/>
              </w:rPr>
            </w:pPr>
            <w:r w:rsidRPr="006A63AF">
              <w:rPr>
                <w:rFonts w:ascii="Garamond" w:hAnsi="Garamond"/>
              </w:rPr>
              <w:t>0.3%</w:t>
            </w:r>
          </w:p>
        </w:tc>
        <w:tc>
          <w:tcPr>
            <w:tcW w:w="2219" w:type="dxa"/>
          </w:tcPr>
          <w:p w:rsidR="00EE571F" w:rsidRPr="006A63AF" w:rsidRDefault="00EE571F" w:rsidP="00EE571F">
            <w:pPr>
              <w:contextualSpacing/>
              <w:rPr>
                <w:rFonts w:ascii="Garamond" w:hAnsi="Garamond"/>
              </w:rPr>
            </w:pPr>
            <w:r w:rsidRPr="006A63AF">
              <w:rPr>
                <w:rFonts w:ascii="Garamond" w:hAnsi="Garamond"/>
              </w:rPr>
              <w:t>11.9%</w:t>
            </w:r>
          </w:p>
        </w:tc>
      </w:tr>
      <w:tr w:rsidR="00EE571F" w:rsidRPr="006A63AF" w:rsidTr="001B6FFE">
        <w:trPr>
          <w:trHeight w:val="280"/>
        </w:trPr>
        <w:tc>
          <w:tcPr>
            <w:tcW w:w="2252" w:type="dxa"/>
          </w:tcPr>
          <w:p w:rsidR="00EE571F" w:rsidRPr="006A63AF" w:rsidRDefault="00EE571F" w:rsidP="00EE571F">
            <w:pPr>
              <w:contextualSpacing/>
              <w:rPr>
                <w:rFonts w:ascii="Garamond" w:hAnsi="Garamond"/>
              </w:rPr>
            </w:pPr>
            <w:r w:rsidRPr="006A63AF">
              <w:rPr>
                <w:rFonts w:ascii="Garamond" w:hAnsi="Garamond"/>
              </w:rPr>
              <w:t>35% or more</w:t>
            </w:r>
          </w:p>
        </w:tc>
        <w:tc>
          <w:tcPr>
            <w:tcW w:w="2266" w:type="dxa"/>
          </w:tcPr>
          <w:p w:rsidR="00EE571F" w:rsidRPr="006A63AF" w:rsidRDefault="00EE571F" w:rsidP="00EE571F">
            <w:pPr>
              <w:contextualSpacing/>
              <w:rPr>
                <w:rFonts w:ascii="Garamond" w:hAnsi="Garamond"/>
              </w:rPr>
            </w:pPr>
            <w:r w:rsidRPr="006A63AF">
              <w:rPr>
                <w:rFonts w:ascii="Garamond" w:hAnsi="Garamond"/>
              </w:rPr>
              <w:t>42.8%</w:t>
            </w:r>
          </w:p>
        </w:tc>
        <w:tc>
          <w:tcPr>
            <w:tcW w:w="2266" w:type="dxa"/>
          </w:tcPr>
          <w:p w:rsidR="00EE571F" w:rsidRPr="006A63AF" w:rsidRDefault="00EE571F" w:rsidP="00EE571F">
            <w:pPr>
              <w:contextualSpacing/>
              <w:rPr>
                <w:rFonts w:ascii="Garamond" w:hAnsi="Garamond"/>
              </w:rPr>
            </w:pPr>
            <w:r w:rsidRPr="006A63AF">
              <w:rPr>
                <w:rFonts w:ascii="Garamond" w:hAnsi="Garamond"/>
              </w:rPr>
              <w:t>4.2%</w:t>
            </w:r>
          </w:p>
        </w:tc>
        <w:tc>
          <w:tcPr>
            <w:tcW w:w="2219" w:type="dxa"/>
          </w:tcPr>
          <w:p w:rsidR="00EE571F" w:rsidRPr="006A63AF" w:rsidRDefault="00EE571F" w:rsidP="00EE571F">
            <w:pPr>
              <w:keepNext/>
              <w:contextualSpacing/>
              <w:rPr>
                <w:rFonts w:ascii="Garamond" w:hAnsi="Garamond"/>
              </w:rPr>
            </w:pPr>
            <w:r w:rsidRPr="006A63AF">
              <w:rPr>
                <w:rFonts w:ascii="Garamond" w:hAnsi="Garamond"/>
              </w:rPr>
              <w:t>22.2%</w:t>
            </w:r>
          </w:p>
        </w:tc>
      </w:tr>
    </w:tbl>
    <w:p w:rsidR="00A8562B" w:rsidRPr="006A63AF" w:rsidRDefault="00A8562B" w:rsidP="006A63AF">
      <w:pPr>
        <w:spacing w:line="240" w:lineRule="auto"/>
        <w:contextualSpacing/>
      </w:pPr>
      <w:r w:rsidRPr="006A63AF">
        <w:t>Of those households with a mortgage, 51% are paying more than 30% of their income on housing costs. Of those renting, 34.1% are paying more than 30% of their income toward housing costs.</w:t>
      </w:r>
      <w:r w:rsidRPr="006A63AF">
        <w:rPr>
          <w:rStyle w:val="FootnoteReference"/>
        </w:rPr>
        <w:footnoteReference w:id="27"/>
      </w:r>
    </w:p>
    <w:p w:rsidR="00A8562B" w:rsidRPr="006A63AF" w:rsidRDefault="00A8562B" w:rsidP="006A63AF">
      <w:pPr>
        <w:pStyle w:val="FootnoteText"/>
        <w:contextualSpacing/>
        <w:rPr>
          <w:rFonts w:ascii="Garamond" w:hAnsi="Garamond"/>
          <w:b/>
        </w:rPr>
      </w:pPr>
    </w:p>
    <w:p w:rsidR="007941A2" w:rsidRDefault="007941A2" w:rsidP="007941A2">
      <w:pPr>
        <w:pStyle w:val="Caption"/>
        <w:framePr w:hSpace="180" w:wrap="around" w:vAnchor="text" w:hAnchor="page" w:x="1909" w:y="-66"/>
      </w:pPr>
      <w:r>
        <w:t xml:space="preserve">Figure </w:t>
      </w:r>
      <w:fldSimple w:instr=" SEQ Figure \* ARABIC ">
        <w:r w:rsidR="00707511">
          <w:rPr>
            <w:noProof/>
          </w:rPr>
          <w:t>19</w:t>
        </w:r>
      </w:fldSimple>
    </w:p>
    <w:p w:rsidR="00147D6D" w:rsidRDefault="00147D6D" w:rsidP="006A63AF">
      <w:pPr>
        <w:spacing w:line="240" w:lineRule="auto"/>
        <w:contextualSpacing/>
        <w:rPr>
          <w:b/>
          <w:color w:val="4E5612"/>
          <w:sz w:val="25"/>
        </w:rPr>
      </w:pPr>
    </w:p>
    <w:p w:rsidR="00147D6D" w:rsidRDefault="00147D6D"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Number of Homes and Rentals</w:t>
      </w:r>
    </w:p>
    <w:p w:rsidR="00A8562B" w:rsidRPr="006A63AF" w:rsidRDefault="00A8562B" w:rsidP="006A63AF">
      <w:pPr>
        <w:spacing w:line="240" w:lineRule="auto"/>
        <w:contextualSpacing/>
        <w:rPr>
          <w:b/>
          <w:color w:val="66A6B8" w:themeColor="accent3" w:themeShade="BF"/>
        </w:rPr>
      </w:pPr>
      <w:r w:rsidRPr="006A63AF">
        <w:t>The total housing units as of the 2010 census was 5,478. Of the total units, 3,651 (67%) housing units were estimated as occupied while there are an estimated 1,827 (33%) vacant housing units.</w:t>
      </w:r>
      <w:r w:rsidR="006A63AF" w:rsidRPr="006A63AF">
        <w:rPr>
          <w:b/>
          <w:color w:val="66A6B8" w:themeColor="accent3" w:themeShade="BF"/>
        </w:rPr>
        <w:t xml:space="preserve"> </w:t>
      </w:r>
      <w:r w:rsidRPr="006A63AF">
        <w:t>The number of real estate listings in Teton County, Idaho including units for rent and for sale only is 549 units.</w:t>
      </w:r>
      <w:r w:rsidRPr="006A63AF">
        <w:rPr>
          <w:rStyle w:val="FootnoteReference"/>
        </w:rPr>
        <w:footnoteReference w:id="28"/>
      </w:r>
      <w:r w:rsidRPr="006A63AF">
        <w:t xml:space="preserve"> </w:t>
      </w:r>
    </w:p>
    <w:p w:rsidR="00AA2CEB" w:rsidRDefault="00AA2CEB">
      <w:pPr>
        <w:rPr>
          <w:rFonts w:eastAsiaTheme="majorEastAsia" w:cstheme="majorBidi"/>
          <w:b/>
          <w:bCs/>
          <w:color w:val="556508"/>
          <w:sz w:val="26"/>
          <w:szCs w:val="26"/>
        </w:rPr>
      </w:pPr>
      <w:r>
        <w:br w:type="page"/>
      </w:r>
    </w:p>
    <w:p w:rsidR="00A8562B" w:rsidRPr="006A63AF" w:rsidRDefault="00A8562B" w:rsidP="006A63AF">
      <w:pPr>
        <w:pStyle w:val="Heading2"/>
        <w:spacing w:line="240" w:lineRule="auto"/>
        <w:contextualSpacing/>
      </w:pPr>
      <w:bookmarkStart w:id="8" w:name="_Toc329954135"/>
      <w:r w:rsidRPr="006A63AF">
        <w:lastRenderedPageBreak/>
        <w:t>Teton County, Wyoming</w:t>
      </w:r>
      <w:bookmarkEnd w:id="8"/>
    </w:p>
    <w:p w:rsidR="00764386" w:rsidRDefault="00764386"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Population</w:t>
      </w:r>
    </w:p>
    <w:p w:rsidR="00A8562B" w:rsidRPr="006A63AF" w:rsidRDefault="00A8562B" w:rsidP="006A63AF">
      <w:pPr>
        <w:spacing w:line="240" w:lineRule="auto"/>
        <w:contextualSpacing/>
        <w:rPr>
          <w:color w:val="66A6B8" w:themeColor="accent3" w:themeShade="BF"/>
        </w:rPr>
      </w:pPr>
      <w:r w:rsidRPr="006A63AF">
        <w:t>According to the 2010 United Census report, Teton County, Wyoming had a population of 21,294. Since the year 2000, Teton County’s population has experienced an increase of 16.67%.</w:t>
      </w:r>
      <w:r w:rsidRPr="006A63AF">
        <w:rPr>
          <w:rStyle w:val="FootnoteReference"/>
        </w:rPr>
        <w:footnoteReference w:id="29"/>
      </w:r>
      <w:r w:rsidRPr="006A63AF">
        <w:t xml:space="preserve"> The Hispanic population has increased 10.99% and white alone 9.53% since </w:t>
      </w:r>
      <w:proofErr w:type="gramStart"/>
      <w:r w:rsidRPr="006A63AF">
        <w:t>2000.</w:t>
      </w:r>
      <w:r w:rsidRPr="006A63AF">
        <w:rPr>
          <w:vertAlign w:val="superscript"/>
        </w:rPr>
        <w:t xml:space="preserve">2  </w:t>
      </w:r>
      <w:r w:rsidRPr="006A63AF">
        <w:t>Jackson</w:t>
      </w:r>
      <w:proofErr w:type="gramEnd"/>
      <w:r w:rsidRPr="006A63AF">
        <w:t>, the county seat of Teton County, reported a population of 9,577 in 2010.</w:t>
      </w:r>
      <w:r w:rsidRPr="006A63AF">
        <w:rPr>
          <w:vertAlign w:val="superscript"/>
        </w:rPr>
        <w:t>3</w:t>
      </w:r>
      <w:r w:rsidRPr="006A63AF">
        <w:t xml:space="preserve"> </w:t>
      </w:r>
    </w:p>
    <w:p w:rsidR="00763023" w:rsidRDefault="00763023"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Age</w:t>
      </w:r>
    </w:p>
    <w:p w:rsidR="00A8562B" w:rsidRPr="006A63AF" w:rsidRDefault="00A8562B" w:rsidP="006A63AF">
      <w:pPr>
        <w:spacing w:line="240" w:lineRule="auto"/>
        <w:contextualSpacing/>
      </w:pPr>
      <w:r w:rsidRPr="006A63AF">
        <w:t xml:space="preserve">In the 2010 Census report, Teton County, Wyoming had a median age of 36.9 years. </w:t>
      </w:r>
      <w:r w:rsidR="00DD05C3">
        <w:t xml:space="preserve">Figure 20 </w:t>
      </w:r>
      <w:r w:rsidRPr="006A63AF">
        <w:t>s</w:t>
      </w:r>
      <w:r w:rsidR="00DD05C3">
        <w:t>hows</w:t>
      </w:r>
      <w:r w:rsidRPr="006A63AF">
        <w:t xml:space="preserve"> the age breakdown of the county population. The age group that makes up the biggest portion of the population is age 30-39. </w:t>
      </w:r>
      <w:r w:rsidRPr="006A63AF">
        <w:rPr>
          <w:rStyle w:val="FootnoteReference"/>
        </w:rPr>
        <w:t>4</w:t>
      </w:r>
    </w:p>
    <w:p w:rsidR="00A8562B" w:rsidRPr="006A63AF" w:rsidRDefault="00A8562B" w:rsidP="006A63AF">
      <w:pPr>
        <w:spacing w:line="240" w:lineRule="auto"/>
        <w:contextualSpacing/>
      </w:pPr>
    </w:p>
    <w:tbl>
      <w:tblPr>
        <w:tblW w:w="2120"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060"/>
      </w:tblGrid>
      <w:tr w:rsidR="00A8562B" w:rsidRPr="006A63AF" w:rsidTr="001B6FFE">
        <w:trPr>
          <w:trHeight w:val="240"/>
          <w:jc w:val="center"/>
        </w:trPr>
        <w:tc>
          <w:tcPr>
            <w:tcW w:w="2120" w:type="dxa"/>
            <w:gridSpan w:val="2"/>
            <w:shd w:val="clear" w:color="auto" w:fill="auto"/>
            <w:noWrap/>
            <w:vAlign w:val="bottom"/>
          </w:tcPr>
          <w:p w:rsidR="00A8562B" w:rsidRPr="006A63AF" w:rsidRDefault="00A8562B" w:rsidP="006A63AF">
            <w:pPr>
              <w:spacing w:line="240" w:lineRule="auto"/>
              <w:contextualSpacing/>
              <w:jc w:val="center"/>
              <w:rPr>
                <w:szCs w:val="20"/>
              </w:rPr>
            </w:pPr>
            <w:r w:rsidRPr="006A63AF">
              <w:rPr>
                <w:szCs w:val="20"/>
              </w:rPr>
              <w:t>Teton County, Wyoming</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Age</w:t>
            </w:r>
          </w:p>
        </w:tc>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Number</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Under 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2,373</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10-19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2,013</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20-29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3,665</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30-39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3,699</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40-49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3,066</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50-59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3,135</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60-69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2,099</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70-79</w:t>
            </w:r>
          </w:p>
        </w:tc>
        <w:tc>
          <w:tcPr>
            <w:tcW w:w="1060" w:type="dxa"/>
            <w:shd w:val="clear" w:color="auto" w:fill="auto"/>
            <w:noWrap/>
            <w:vAlign w:val="bottom"/>
          </w:tcPr>
          <w:p w:rsidR="00A8562B" w:rsidRPr="006A63AF" w:rsidRDefault="00A8562B" w:rsidP="006A63AF">
            <w:pPr>
              <w:spacing w:line="240" w:lineRule="auto"/>
              <w:contextualSpacing/>
              <w:jc w:val="right"/>
              <w:rPr>
                <w:szCs w:val="20"/>
              </w:rPr>
            </w:pPr>
            <w:r w:rsidRPr="006A63AF">
              <w:rPr>
                <w:szCs w:val="20"/>
              </w:rPr>
              <w:t>859</w:t>
            </w:r>
          </w:p>
        </w:tc>
      </w:tr>
      <w:tr w:rsidR="00A8562B" w:rsidRPr="006A63AF" w:rsidTr="001B6FFE">
        <w:trPr>
          <w:trHeight w:val="240"/>
          <w:jc w:val="center"/>
        </w:trPr>
        <w:tc>
          <w:tcPr>
            <w:tcW w:w="1060" w:type="dxa"/>
            <w:shd w:val="clear" w:color="auto" w:fill="auto"/>
            <w:noWrap/>
            <w:vAlign w:val="bottom"/>
          </w:tcPr>
          <w:p w:rsidR="00A8562B" w:rsidRPr="006A63AF" w:rsidRDefault="00A8562B" w:rsidP="006A63AF">
            <w:pPr>
              <w:spacing w:line="240" w:lineRule="auto"/>
              <w:contextualSpacing/>
              <w:rPr>
                <w:szCs w:val="20"/>
              </w:rPr>
            </w:pPr>
            <w:r w:rsidRPr="006A63AF">
              <w:rPr>
                <w:szCs w:val="20"/>
              </w:rPr>
              <w:t>Over 80</w:t>
            </w:r>
          </w:p>
        </w:tc>
        <w:tc>
          <w:tcPr>
            <w:tcW w:w="1060" w:type="dxa"/>
            <w:shd w:val="clear" w:color="auto" w:fill="auto"/>
            <w:noWrap/>
            <w:vAlign w:val="bottom"/>
          </w:tcPr>
          <w:p w:rsidR="00A8562B" w:rsidRPr="006A63AF" w:rsidRDefault="00A8562B" w:rsidP="00EE571F">
            <w:pPr>
              <w:keepNext/>
              <w:spacing w:line="240" w:lineRule="auto"/>
              <w:contextualSpacing/>
              <w:jc w:val="right"/>
              <w:rPr>
                <w:szCs w:val="20"/>
              </w:rPr>
            </w:pPr>
            <w:r w:rsidRPr="006A63AF">
              <w:rPr>
                <w:szCs w:val="20"/>
              </w:rPr>
              <w:t>385</w:t>
            </w:r>
          </w:p>
        </w:tc>
      </w:tr>
    </w:tbl>
    <w:p w:rsidR="00A8562B" w:rsidRPr="006A63AF" w:rsidRDefault="007203B8" w:rsidP="00EE571F">
      <w:pPr>
        <w:pStyle w:val="Caption"/>
      </w:pPr>
      <w:r>
        <w:tab/>
      </w:r>
      <w:r>
        <w:tab/>
      </w:r>
      <w:r>
        <w:tab/>
      </w:r>
      <w:r>
        <w:tab/>
      </w:r>
      <w:r>
        <w:tab/>
      </w:r>
      <w:r w:rsidR="00EE571F">
        <w:t xml:space="preserve">Figure </w:t>
      </w:r>
      <w:fldSimple w:instr=" SEQ Figure \* ARABIC ">
        <w:r w:rsidR="00707511">
          <w:rPr>
            <w:noProof/>
          </w:rPr>
          <w:t>20</w:t>
        </w:r>
      </w:fldSimple>
    </w:p>
    <w:p w:rsidR="00A8562B" w:rsidRPr="00764386" w:rsidRDefault="00A8562B" w:rsidP="006A63AF">
      <w:pPr>
        <w:spacing w:line="240" w:lineRule="auto"/>
        <w:contextualSpacing/>
        <w:rPr>
          <w:b/>
          <w:color w:val="4E5612"/>
          <w:sz w:val="25"/>
        </w:rPr>
      </w:pPr>
      <w:r w:rsidRPr="00764386">
        <w:rPr>
          <w:b/>
          <w:color w:val="4E5612"/>
          <w:sz w:val="25"/>
        </w:rPr>
        <w:t>Employment</w:t>
      </w:r>
    </w:p>
    <w:p w:rsidR="00A8562B" w:rsidRPr="006A63AF" w:rsidRDefault="00A8562B" w:rsidP="006A63AF">
      <w:pPr>
        <w:spacing w:line="240" w:lineRule="auto"/>
        <w:contextualSpacing/>
      </w:pPr>
      <w:r w:rsidRPr="006A63AF">
        <w:t xml:space="preserve">Of the 21,294 people residing in Teton County, Wyoming 17,637 are over 16 years of age which makes up </w:t>
      </w:r>
      <w:r w:rsidR="00763023">
        <w:t>82.8% of the total population.</w:t>
      </w:r>
      <w:r w:rsidR="00763023">
        <w:rPr>
          <w:rStyle w:val="FootnoteReference"/>
        </w:rPr>
        <w:footnoteReference w:id="30"/>
      </w:r>
      <w:r w:rsidR="00763023">
        <w:t xml:space="preserve"> </w:t>
      </w:r>
      <w:r w:rsidRPr="006A63AF">
        <w:t>The number of establishments in Teton County is 2,142 with employment total cover</w:t>
      </w:r>
      <w:r w:rsidR="00763023">
        <w:t>ed 19,017 as of September 2011.</w:t>
      </w:r>
      <w:r w:rsidR="00763023">
        <w:rPr>
          <w:rStyle w:val="FootnoteReference"/>
        </w:rPr>
        <w:footnoteReference w:id="31"/>
      </w:r>
      <w:r w:rsidRPr="006A63AF">
        <w:t xml:space="preserve"> The change in the rate of employment has increased 1.2% in a 12 month period from September 2010-September 2011.</w:t>
      </w:r>
    </w:p>
    <w:p w:rsidR="00764386" w:rsidRDefault="00764386"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Income</w:t>
      </w:r>
    </w:p>
    <w:p w:rsidR="00A8562B" w:rsidRPr="006A63AF" w:rsidRDefault="00A8562B" w:rsidP="006A63AF">
      <w:pPr>
        <w:spacing w:line="240" w:lineRule="auto"/>
        <w:contextualSpacing/>
      </w:pPr>
      <w:r w:rsidRPr="006A63AF">
        <w:t>According to the U.S. Census Bureau, there are over 2000 households in Teton County who make over $100,000 annual income. This is likely due to the high cost of living in Jackson, Wyoming. The median household income in Teton County is $66,237 with a mean of $106,096. The disparity between the median and mean can be attributed to outliers that make significantly more than $100,000 per year.</w:t>
      </w:r>
    </w:p>
    <w:p w:rsidR="00A8562B" w:rsidRPr="006A63AF" w:rsidRDefault="00A8562B" w:rsidP="006A63AF">
      <w:pPr>
        <w:spacing w:line="240" w:lineRule="auto"/>
        <w:contextualSpacing/>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98"/>
        <w:gridCol w:w="2700"/>
      </w:tblGrid>
      <w:tr w:rsidR="00A8562B" w:rsidRPr="006A63AF" w:rsidTr="001B6FFE">
        <w:trPr>
          <w:jc w:val="center"/>
        </w:trPr>
        <w:tc>
          <w:tcPr>
            <w:tcW w:w="2898" w:type="dxa"/>
          </w:tcPr>
          <w:p w:rsidR="00A8562B" w:rsidRPr="006A63AF" w:rsidRDefault="00A8562B" w:rsidP="006A63AF">
            <w:pPr>
              <w:contextualSpacing/>
              <w:jc w:val="center"/>
              <w:rPr>
                <w:rFonts w:ascii="Garamond" w:hAnsi="Garamond"/>
                <w:b/>
              </w:rPr>
            </w:pPr>
            <w:r w:rsidRPr="006A63AF">
              <w:rPr>
                <w:rFonts w:ascii="Garamond" w:hAnsi="Garamond"/>
                <w:b/>
              </w:rPr>
              <w:t>Income</w:t>
            </w:r>
          </w:p>
        </w:tc>
        <w:tc>
          <w:tcPr>
            <w:tcW w:w="2700" w:type="dxa"/>
          </w:tcPr>
          <w:p w:rsidR="00A8562B" w:rsidRPr="006A63AF" w:rsidRDefault="00A8562B" w:rsidP="006A63AF">
            <w:pPr>
              <w:contextualSpacing/>
              <w:jc w:val="center"/>
              <w:rPr>
                <w:rFonts w:ascii="Garamond" w:hAnsi="Garamond"/>
                <w:b/>
              </w:rPr>
            </w:pPr>
            <w:r w:rsidRPr="006A63AF">
              <w:rPr>
                <w:rFonts w:ascii="Garamond" w:hAnsi="Garamond"/>
                <w:b/>
              </w:rPr>
              <w:t>Households</w:t>
            </w:r>
          </w:p>
        </w:tc>
      </w:tr>
      <w:tr w:rsidR="00A8562B" w:rsidRPr="006A63AF" w:rsidTr="001B6FFE">
        <w:trPr>
          <w:jc w:val="center"/>
        </w:trPr>
        <w:tc>
          <w:tcPr>
            <w:tcW w:w="2898" w:type="dxa"/>
          </w:tcPr>
          <w:p w:rsidR="00A8562B" w:rsidRPr="006A63AF" w:rsidRDefault="00A8562B" w:rsidP="006A63AF">
            <w:pPr>
              <w:contextualSpacing/>
              <w:rPr>
                <w:rFonts w:ascii="Garamond" w:hAnsi="Garamond"/>
              </w:rPr>
            </w:pPr>
            <w:r w:rsidRPr="006A63AF">
              <w:rPr>
                <w:rFonts w:ascii="Garamond" w:hAnsi="Garamond"/>
              </w:rPr>
              <w:t>$0 to 9,999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223</w:t>
            </w:r>
          </w:p>
        </w:tc>
      </w:tr>
      <w:tr w:rsidR="00A8562B" w:rsidRPr="006A63AF" w:rsidTr="001B6FFE">
        <w:trPr>
          <w:jc w:val="center"/>
        </w:trPr>
        <w:tc>
          <w:tcPr>
            <w:tcW w:w="2898" w:type="dxa"/>
          </w:tcPr>
          <w:p w:rsidR="00A8562B" w:rsidRPr="006A63AF" w:rsidRDefault="00A8562B" w:rsidP="006A63AF">
            <w:pPr>
              <w:contextualSpacing/>
              <w:rPr>
                <w:rFonts w:ascii="Garamond" w:hAnsi="Garamond"/>
              </w:rPr>
            </w:pPr>
            <w:r w:rsidRPr="006A63AF">
              <w:rPr>
                <w:rFonts w:ascii="Garamond" w:hAnsi="Garamond"/>
              </w:rPr>
              <w:t>$10,000 to $24,999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705</w:t>
            </w:r>
          </w:p>
        </w:tc>
      </w:tr>
      <w:tr w:rsidR="00A8562B" w:rsidRPr="006A63AF" w:rsidTr="001B6FFE">
        <w:trPr>
          <w:jc w:val="center"/>
        </w:trPr>
        <w:tc>
          <w:tcPr>
            <w:tcW w:w="2898" w:type="dxa"/>
          </w:tcPr>
          <w:p w:rsidR="00A8562B" w:rsidRPr="006A63AF" w:rsidRDefault="00A8562B" w:rsidP="006A63AF">
            <w:pPr>
              <w:contextualSpacing/>
              <w:rPr>
                <w:rFonts w:ascii="Garamond" w:hAnsi="Garamond"/>
              </w:rPr>
            </w:pPr>
            <w:r w:rsidRPr="006A63AF">
              <w:rPr>
                <w:rFonts w:ascii="Garamond" w:hAnsi="Garamond"/>
              </w:rPr>
              <w:t>$25,000 to $49,999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1,425</w:t>
            </w:r>
          </w:p>
        </w:tc>
      </w:tr>
      <w:tr w:rsidR="00A8562B" w:rsidRPr="006A63AF" w:rsidTr="001B6FFE">
        <w:trPr>
          <w:jc w:val="center"/>
        </w:trPr>
        <w:tc>
          <w:tcPr>
            <w:tcW w:w="2898" w:type="dxa"/>
          </w:tcPr>
          <w:p w:rsidR="00A8562B" w:rsidRPr="006A63AF" w:rsidRDefault="00A8562B" w:rsidP="006A63AF">
            <w:pPr>
              <w:contextualSpacing/>
              <w:rPr>
                <w:rFonts w:ascii="Garamond" w:hAnsi="Garamond"/>
              </w:rPr>
            </w:pPr>
            <w:r w:rsidRPr="006A63AF">
              <w:rPr>
                <w:rFonts w:ascii="Garamond" w:hAnsi="Garamond"/>
              </w:rPr>
              <w:t>$50,000 to $74,999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1,553</w:t>
            </w:r>
          </w:p>
        </w:tc>
      </w:tr>
      <w:tr w:rsidR="00A8562B" w:rsidRPr="006A63AF" w:rsidTr="001B6FFE">
        <w:trPr>
          <w:jc w:val="center"/>
        </w:trPr>
        <w:tc>
          <w:tcPr>
            <w:tcW w:w="2898" w:type="dxa"/>
          </w:tcPr>
          <w:p w:rsidR="00A8562B" w:rsidRPr="006A63AF" w:rsidRDefault="00A8562B" w:rsidP="006A63AF">
            <w:pPr>
              <w:contextualSpacing/>
              <w:rPr>
                <w:rFonts w:ascii="Garamond" w:hAnsi="Garamond"/>
              </w:rPr>
            </w:pPr>
            <w:r w:rsidRPr="006A63AF">
              <w:rPr>
                <w:rFonts w:ascii="Garamond" w:hAnsi="Garamond"/>
              </w:rPr>
              <w:t>$75,000 to $99,999</w:t>
            </w:r>
          </w:p>
        </w:tc>
        <w:tc>
          <w:tcPr>
            <w:tcW w:w="2700" w:type="dxa"/>
          </w:tcPr>
          <w:p w:rsidR="00A8562B" w:rsidRPr="006A63AF" w:rsidRDefault="00A8562B" w:rsidP="006A63AF">
            <w:pPr>
              <w:contextualSpacing/>
              <w:jc w:val="center"/>
              <w:rPr>
                <w:rFonts w:ascii="Garamond" w:hAnsi="Garamond"/>
              </w:rPr>
            </w:pPr>
            <w:r w:rsidRPr="006A63AF">
              <w:rPr>
                <w:rFonts w:ascii="Garamond" w:hAnsi="Garamond"/>
              </w:rPr>
              <w:t>912</w:t>
            </w:r>
          </w:p>
        </w:tc>
      </w:tr>
      <w:tr w:rsidR="00A8562B" w:rsidRPr="006A63AF" w:rsidTr="001B6FFE">
        <w:trPr>
          <w:jc w:val="center"/>
        </w:trPr>
        <w:tc>
          <w:tcPr>
            <w:tcW w:w="2898" w:type="dxa"/>
          </w:tcPr>
          <w:p w:rsidR="00A8562B" w:rsidRPr="006A63AF" w:rsidRDefault="00A8562B" w:rsidP="006A63AF">
            <w:pPr>
              <w:contextualSpacing/>
              <w:rPr>
                <w:rFonts w:ascii="Garamond" w:hAnsi="Garamond"/>
              </w:rPr>
            </w:pPr>
            <w:r w:rsidRPr="006A63AF">
              <w:rPr>
                <w:rFonts w:ascii="Garamond" w:hAnsi="Garamond"/>
              </w:rPr>
              <w:t>$100,000 and Above</w:t>
            </w:r>
          </w:p>
        </w:tc>
        <w:tc>
          <w:tcPr>
            <w:tcW w:w="2700" w:type="dxa"/>
          </w:tcPr>
          <w:p w:rsidR="00A8562B" w:rsidRPr="006A63AF" w:rsidRDefault="00A8562B" w:rsidP="00EE571F">
            <w:pPr>
              <w:keepNext/>
              <w:contextualSpacing/>
              <w:jc w:val="center"/>
              <w:rPr>
                <w:rFonts w:ascii="Garamond" w:hAnsi="Garamond"/>
              </w:rPr>
            </w:pPr>
            <w:r w:rsidRPr="006A63AF">
              <w:rPr>
                <w:rFonts w:ascii="Garamond" w:hAnsi="Garamond"/>
              </w:rPr>
              <w:t>2,121</w:t>
            </w:r>
          </w:p>
        </w:tc>
      </w:tr>
    </w:tbl>
    <w:p w:rsidR="00EE571F" w:rsidRDefault="00EE571F">
      <w:pPr>
        <w:pStyle w:val="Caption"/>
      </w:pPr>
      <w:r>
        <w:tab/>
      </w:r>
      <w:r>
        <w:tab/>
        <w:t xml:space="preserve">          Figure </w:t>
      </w:r>
      <w:fldSimple w:instr=" SEQ Figure \* ARABIC ">
        <w:r w:rsidR="00707511">
          <w:rPr>
            <w:noProof/>
          </w:rPr>
          <w:t>21</w:t>
        </w:r>
      </w:fldSimple>
    </w:p>
    <w:p w:rsidR="00A8562B" w:rsidRPr="00BC10AC" w:rsidRDefault="00A8562B" w:rsidP="006A63AF">
      <w:pPr>
        <w:spacing w:line="240" w:lineRule="auto"/>
        <w:contextualSpacing/>
      </w:pPr>
      <w:r w:rsidRPr="00764386">
        <w:rPr>
          <w:b/>
          <w:color w:val="4E5612"/>
          <w:sz w:val="25"/>
        </w:rPr>
        <w:t>Home Values</w:t>
      </w:r>
    </w:p>
    <w:p w:rsidR="00A8562B" w:rsidRDefault="00A8562B" w:rsidP="006A63AF">
      <w:pPr>
        <w:spacing w:line="240" w:lineRule="auto"/>
        <w:contextualSpacing/>
      </w:pPr>
      <w:r w:rsidRPr="006A63AF">
        <w:t>The value of homes in Teton County is significantly higher with many homes being priced over $500,000. The data</w:t>
      </w:r>
      <w:r w:rsidR="00DD05C3">
        <w:t xml:space="preserve"> in Figure 22</w:t>
      </w:r>
      <w:r w:rsidRPr="006A63AF">
        <w:t xml:space="preserve"> </w:t>
      </w:r>
      <w:r w:rsidR="00DD05C3">
        <w:t>is</w:t>
      </w:r>
      <w:r w:rsidRPr="006A63AF">
        <w:t xml:space="preserve"> from the U.S. Census Bureau in 2010</w:t>
      </w:r>
      <w:r w:rsidR="00DD05C3">
        <w:t>.</w:t>
      </w:r>
    </w:p>
    <w:p w:rsidR="00355BC6" w:rsidRPr="006A63AF" w:rsidRDefault="00355BC6" w:rsidP="006A63AF">
      <w:pPr>
        <w:spacing w:line="240" w:lineRule="auto"/>
        <w:contextualSpacing/>
      </w:pPr>
    </w:p>
    <w:tbl>
      <w:tblPr>
        <w:tblStyle w:val="TableGrid"/>
        <w:tblpPr w:leftFromText="180" w:rightFromText="180" w:vertAnchor="text" w:tblpY="1"/>
        <w:tblOverlap w:val="neve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14"/>
        <w:gridCol w:w="3206"/>
        <w:gridCol w:w="2886"/>
      </w:tblGrid>
      <w:tr w:rsidR="00A8562B" w:rsidRPr="006A63AF" w:rsidTr="001B6FFE">
        <w:trPr>
          <w:trHeight w:val="275"/>
        </w:trPr>
        <w:tc>
          <w:tcPr>
            <w:tcW w:w="3014" w:type="dxa"/>
          </w:tcPr>
          <w:p w:rsidR="00A8562B" w:rsidRPr="006A63AF" w:rsidRDefault="00A8562B" w:rsidP="006A63AF">
            <w:pPr>
              <w:contextualSpacing/>
              <w:rPr>
                <w:rFonts w:ascii="Garamond" w:hAnsi="Garamond"/>
                <w:b/>
              </w:rPr>
            </w:pPr>
            <w:r w:rsidRPr="006A63AF">
              <w:rPr>
                <w:rFonts w:ascii="Garamond" w:hAnsi="Garamond"/>
                <w:b/>
              </w:rPr>
              <w:t>Value</w:t>
            </w:r>
          </w:p>
        </w:tc>
        <w:tc>
          <w:tcPr>
            <w:tcW w:w="3206" w:type="dxa"/>
          </w:tcPr>
          <w:p w:rsidR="00A8562B" w:rsidRPr="006A63AF" w:rsidRDefault="00A8562B" w:rsidP="006A63AF">
            <w:pPr>
              <w:contextualSpacing/>
              <w:jc w:val="center"/>
              <w:rPr>
                <w:rFonts w:ascii="Garamond" w:hAnsi="Garamond"/>
                <w:b/>
              </w:rPr>
            </w:pPr>
            <w:r w:rsidRPr="006A63AF">
              <w:rPr>
                <w:rFonts w:ascii="Garamond" w:hAnsi="Garamond"/>
                <w:b/>
              </w:rPr>
              <w:t>Owner Occupied Units</w:t>
            </w:r>
          </w:p>
        </w:tc>
        <w:tc>
          <w:tcPr>
            <w:tcW w:w="2886" w:type="dxa"/>
          </w:tcPr>
          <w:p w:rsidR="00A8562B" w:rsidRPr="006A63AF" w:rsidRDefault="00A8562B" w:rsidP="006A63AF">
            <w:pPr>
              <w:contextualSpacing/>
              <w:jc w:val="center"/>
              <w:rPr>
                <w:rFonts w:ascii="Garamond" w:hAnsi="Garamond"/>
                <w:b/>
              </w:rPr>
            </w:pPr>
            <w:r w:rsidRPr="006A63AF">
              <w:rPr>
                <w:rFonts w:ascii="Garamond" w:hAnsi="Garamond"/>
                <w:b/>
              </w:rPr>
              <w:t>Percentage</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0 to $49,999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90</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2.0%</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$50,000 to $99,999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133</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2.9%</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$100,000 to $149,999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85</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1.9%</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$150,000 to $199,999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207</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4.5%</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$200,000 to $299,999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135</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3.0%</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$300,000 to $499,999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583</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12.8%</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$500,000 to $999,999</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2,114</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46.3%</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$1,000,000 or more</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1,220</w:t>
            </w:r>
          </w:p>
        </w:tc>
        <w:tc>
          <w:tcPr>
            <w:tcW w:w="2886" w:type="dxa"/>
          </w:tcPr>
          <w:p w:rsidR="00A8562B" w:rsidRPr="006A63AF" w:rsidRDefault="00A8562B" w:rsidP="006A63AF">
            <w:pPr>
              <w:contextualSpacing/>
              <w:jc w:val="center"/>
              <w:rPr>
                <w:rFonts w:ascii="Garamond" w:hAnsi="Garamond"/>
              </w:rPr>
            </w:pPr>
            <w:r w:rsidRPr="006A63AF">
              <w:rPr>
                <w:rFonts w:ascii="Garamond" w:hAnsi="Garamond"/>
              </w:rPr>
              <w:t>26.7%</w:t>
            </w:r>
          </w:p>
        </w:tc>
      </w:tr>
      <w:tr w:rsidR="00A8562B" w:rsidRPr="006A63AF" w:rsidTr="001B6FFE">
        <w:trPr>
          <w:trHeight w:val="275"/>
        </w:trPr>
        <w:tc>
          <w:tcPr>
            <w:tcW w:w="3014" w:type="dxa"/>
          </w:tcPr>
          <w:p w:rsidR="00A8562B" w:rsidRPr="006A63AF" w:rsidRDefault="00A8562B" w:rsidP="006A63AF">
            <w:pPr>
              <w:contextualSpacing/>
              <w:rPr>
                <w:rFonts w:ascii="Garamond" w:hAnsi="Garamond"/>
              </w:rPr>
            </w:pPr>
            <w:r w:rsidRPr="006A63AF">
              <w:rPr>
                <w:rFonts w:ascii="Garamond" w:hAnsi="Garamond"/>
              </w:rPr>
              <w:t>Total</w:t>
            </w:r>
          </w:p>
        </w:tc>
        <w:tc>
          <w:tcPr>
            <w:tcW w:w="3206" w:type="dxa"/>
          </w:tcPr>
          <w:p w:rsidR="00A8562B" w:rsidRPr="006A63AF" w:rsidRDefault="00A8562B" w:rsidP="006A63AF">
            <w:pPr>
              <w:contextualSpacing/>
              <w:jc w:val="center"/>
              <w:rPr>
                <w:rFonts w:ascii="Garamond" w:hAnsi="Garamond"/>
              </w:rPr>
            </w:pPr>
            <w:r w:rsidRPr="006A63AF">
              <w:rPr>
                <w:rFonts w:ascii="Garamond" w:hAnsi="Garamond"/>
              </w:rPr>
              <w:t>4,567</w:t>
            </w:r>
          </w:p>
        </w:tc>
        <w:tc>
          <w:tcPr>
            <w:tcW w:w="2886" w:type="dxa"/>
          </w:tcPr>
          <w:p w:rsidR="00A8562B" w:rsidRPr="006A63AF" w:rsidRDefault="00A8562B" w:rsidP="00EE571F">
            <w:pPr>
              <w:keepNext/>
              <w:contextualSpacing/>
              <w:jc w:val="center"/>
              <w:rPr>
                <w:rFonts w:ascii="Garamond" w:hAnsi="Garamond"/>
              </w:rPr>
            </w:pPr>
            <w:r w:rsidRPr="006A63AF">
              <w:rPr>
                <w:rFonts w:ascii="Garamond" w:hAnsi="Garamond"/>
              </w:rPr>
              <w:t>100%</w:t>
            </w:r>
          </w:p>
        </w:tc>
      </w:tr>
    </w:tbl>
    <w:p w:rsidR="00EE571F" w:rsidRDefault="00EE571F" w:rsidP="00EE571F">
      <w:pPr>
        <w:pStyle w:val="Caption"/>
        <w:framePr w:hSpace="180" w:wrap="around" w:vAnchor="text" w:hAnchor="text" w:y="1"/>
        <w:suppressOverlap/>
      </w:pPr>
      <w:r>
        <w:t xml:space="preserve">Figure </w:t>
      </w:r>
      <w:fldSimple w:instr=" SEQ Figure \* ARABIC ">
        <w:r w:rsidR="00707511">
          <w:rPr>
            <w:noProof/>
          </w:rPr>
          <w:t>22</w:t>
        </w:r>
      </w:fldSimple>
    </w:p>
    <w:p w:rsidR="00764386" w:rsidRDefault="00764386" w:rsidP="006A63AF">
      <w:pPr>
        <w:spacing w:line="240" w:lineRule="auto"/>
        <w:contextualSpacing/>
        <w:rPr>
          <w:b/>
          <w:color w:val="4E5612"/>
          <w:sz w:val="25"/>
        </w:rPr>
      </w:pPr>
    </w:p>
    <w:p w:rsidR="00EE571F" w:rsidRDefault="00EE571F"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Housing Costs</w:t>
      </w:r>
    </w:p>
    <w:p w:rsidR="00A8562B" w:rsidRPr="006A63AF" w:rsidRDefault="00A8562B" w:rsidP="006A63AF">
      <w:pPr>
        <w:spacing w:line="240" w:lineRule="auto"/>
        <w:contextualSpacing/>
      </w:pPr>
      <w:r w:rsidRPr="006A63AF">
        <w:t>Of the population with a mortgage, 39.5% pay more than 30% of their income on housing costs while 46.7% of those paying rent spend more than 30% of their income on housing.</w:t>
      </w:r>
      <w:r w:rsidRPr="006A63AF">
        <w:rPr>
          <w:rStyle w:val="FootnoteReference"/>
        </w:rPr>
        <w:footnoteReference w:id="32"/>
      </w:r>
      <w:r w:rsidRPr="006A63AF">
        <w:t xml:space="preserve">   </w:t>
      </w:r>
    </w:p>
    <w:p w:rsidR="00A8562B" w:rsidRPr="006A63AF" w:rsidRDefault="00A8562B" w:rsidP="006A63AF">
      <w:pPr>
        <w:spacing w:line="240" w:lineRule="auto"/>
        <w:contextualSpacing/>
      </w:pPr>
    </w:p>
    <w:tbl>
      <w:tblPr>
        <w:tblStyle w:val="TableGrid"/>
        <w:tblpPr w:leftFromText="180" w:rightFromText="180" w:vertAnchor="text" w:horzAnchor="page" w:tblpX="1909"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15"/>
        <w:gridCol w:w="2229"/>
        <w:gridCol w:w="2229"/>
        <w:gridCol w:w="2183"/>
      </w:tblGrid>
      <w:tr w:rsidR="00A8562B" w:rsidRPr="006A63AF" w:rsidTr="001B6FFE">
        <w:tc>
          <w:tcPr>
            <w:tcW w:w="2215" w:type="dxa"/>
          </w:tcPr>
          <w:p w:rsidR="00A8562B" w:rsidRPr="006A63AF" w:rsidRDefault="00A8562B" w:rsidP="006A63AF">
            <w:pPr>
              <w:contextualSpacing/>
              <w:rPr>
                <w:rFonts w:ascii="Garamond" w:hAnsi="Garamond"/>
                <w:b/>
              </w:rPr>
            </w:pPr>
            <w:r w:rsidRPr="006A63AF">
              <w:rPr>
                <w:rFonts w:ascii="Garamond" w:hAnsi="Garamond"/>
                <w:b/>
              </w:rPr>
              <w:t>Percent of Income Spent on Housing</w:t>
            </w:r>
          </w:p>
        </w:tc>
        <w:tc>
          <w:tcPr>
            <w:tcW w:w="2229" w:type="dxa"/>
          </w:tcPr>
          <w:p w:rsidR="00A8562B" w:rsidRPr="006A63AF" w:rsidRDefault="00A8562B" w:rsidP="006A63AF">
            <w:pPr>
              <w:contextualSpacing/>
              <w:rPr>
                <w:rFonts w:ascii="Garamond" w:hAnsi="Garamond"/>
                <w:b/>
              </w:rPr>
            </w:pPr>
            <w:r w:rsidRPr="006A63AF">
              <w:rPr>
                <w:rFonts w:ascii="Garamond" w:hAnsi="Garamond"/>
                <w:b/>
              </w:rPr>
              <w:t>Housing Costs with a Mortgage</w:t>
            </w:r>
          </w:p>
        </w:tc>
        <w:tc>
          <w:tcPr>
            <w:tcW w:w="2229" w:type="dxa"/>
          </w:tcPr>
          <w:p w:rsidR="00A8562B" w:rsidRPr="006A63AF" w:rsidRDefault="00A8562B" w:rsidP="006A63AF">
            <w:pPr>
              <w:contextualSpacing/>
              <w:rPr>
                <w:rFonts w:ascii="Garamond" w:hAnsi="Garamond"/>
                <w:b/>
              </w:rPr>
            </w:pPr>
            <w:r w:rsidRPr="006A63AF">
              <w:rPr>
                <w:rFonts w:ascii="Garamond" w:hAnsi="Garamond"/>
                <w:b/>
              </w:rPr>
              <w:t>Housing Costs without a Mortgage</w:t>
            </w:r>
          </w:p>
        </w:tc>
        <w:tc>
          <w:tcPr>
            <w:tcW w:w="2183" w:type="dxa"/>
          </w:tcPr>
          <w:p w:rsidR="00A8562B" w:rsidRPr="006A63AF" w:rsidRDefault="00A8562B" w:rsidP="006A63AF">
            <w:pPr>
              <w:contextualSpacing/>
              <w:rPr>
                <w:rFonts w:ascii="Garamond" w:hAnsi="Garamond"/>
                <w:b/>
              </w:rPr>
            </w:pPr>
            <w:r w:rsidRPr="006A63AF">
              <w:rPr>
                <w:rFonts w:ascii="Garamond" w:hAnsi="Garamond"/>
                <w:b/>
              </w:rPr>
              <w:t>Rental Costs</w:t>
            </w:r>
          </w:p>
        </w:tc>
      </w:tr>
      <w:tr w:rsidR="00A8562B" w:rsidRPr="006A63AF" w:rsidTr="001B6FFE">
        <w:tc>
          <w:tcPr>
            <w:tcW w:w="2215" w:type="dxa"/>
          </w:tcPr>
          <w:p w:rsidR="00A8562B" w:rsidRPr="006A63AF" w:rsidRDefault="00A8562B" w:rsidP="006A63AF">
            <w:pPr>
              <w:contextualSpacing/>
              <w:rPr>
                <w:rFonts w:ascii="Garamond" w:hAnsi="Garamond"/>
              </w:rPr>
            </w:pPr>
            <w:r w:rsidRPr="006A63AF">
              <w:rPr>
                <w:rFonts w:ascii="Garamond" w:hAnsi="Garamond"/>
              </w:rPr>
              <w:t>Less than 20%</w:t>
            </w:r>
          </w:p>
        </w:tc>
        <w:tc>
          <w:tcPr>
            <w:tcW w:w="2229" w:type="dxa"/>
          </w:tcPr>
          <w:p w:rsidR="00A8562B" w:rsidRPr="006A63AF" w:rsidRDefault="00A8562B" w:rsidP="006A63AF">
            <w:pPr>
              <w:contextualSpacing/>
              <w:rPr>
                <w:rFonts w:ascii="Garamond" w:hAnsi="Garamond"/>
              </w:rPr>
            </w:pPr>
            <w:r w:rsidRPr="006A63AF">
              <w:rPr>
                <w:rFonts w:ascii="Garamond" w:hAnsi="Garamond"/>
              </w:rPr>
              <w:t>25.7%</w:t>
            </w:r>
          </w:p>
        </w:tc>
        <w:tc>
          <w:tcPr>
            <w:tcW w:w="2229" w:type="dxa"/>
          </w:tcPr>
          <w:p w:rsidR="00A8562B" w:rsidRPr="006A63AF" w:rsidRDefault="00A8562B" w:rsidP="006A63AF">
            <w:pPr>
              <w:contextualSpacing/>
              <w:rPr>
                <w:rFonts w:ascii="Garamond" w:hAnsi="Garamond"/>
              </w:rPr>
            </w:pPr>
            <w:r w:rsidRPr="006A63AF">
              <w:rPr>
                <w:rFonts w:ascii="Garamond" w:hAnsi="Garamond"/>
              </w:rPr>
              <w:t>62.2%</w:t>
            </w:r>
          </w:p>
        </w:tc>
        <w:tc>
          <w:tcPr>
            <w:tcW w:w="2183" w:type="dxa"/>
          </w:tcPr>
          <w:p w:rsidR="00A8562B" w:rsidRPr="006A63AF" w:rsidRDefault="00A8562B" w:rsidP="006A63AF">
            <w:pPr>
              <w:contextualSpacing/>
              <w:rPr>
                <w:rFonts w:ascii="Garamond" w:hAnsi="Garamond"/>
              </w:rPr>
            </w:pPr>
            <w:r w:rsidRPr="006A63AF">
              <w:rPr>
                <w:rFonts w:ascii="Garamond" w:hAnsi="Garamond"/>
              </w:rPr>
              <w:t>29.2%</w:t>
            </w:r>
          </w:p>
        </w:tc>
      </w:tr>
      <w:tr w:rsidR="00A8562B" w:rsidRPr="006A63AF" w:rsidTr="001B6FFE">
        <w:tc>
          <w:tcPr>
            <w:tcW w:w="2215" w:type="dxa"/>
          </w:tcPr>
          <w:p w:rsidR="00A8562B" w:rsidRPr="006A63AF" w:rsidRDefault="00A8562B" w:rsidP="006A63AF">
            <w:pPr>
              <w:contextualSpacing/>
              <w:rPr>
                <w:rFonts w:ascii="Garamond" w:hAnsi="Garamond"/>
              </w:rPr>
            </w:pPr>
            <w:r w:rsidRPr="006A63AF">
              <w:rPr>
                <w:rFonts w:ascii="Garamond" w:hAnsi="Garamond"/>
              </w:rPr>
              <w:t>20% to 24.9%</w:t>
            </w:r>
          </w:p>
        </w:tc>
        <w:tc>
          <w:tcPr>
            <w:tcW w:w="2229" w:type="dxa"/>
          </w:tcPr>
          <w:p w:rsidR="00A8562B" w:rsidRPr="006A63AF" w:rsidRDefault="00A8562B" w:rsidP="006A63AF">
            <w:pPr>
              <w:contextualSpacing/>
              <w:rPr>
                <w:rFonts w:ascii="Garamond" w:hAnsi="Garamond"/>
              </w:rPr>
            </w:pPr>
            <w:r w:rsidRPr="006A63AF">
              <w:rPr>
                <w:rFonts w:ascii="Garamond" w:hAnsi="Garamond"/>
              </w:rPr>
              <w:t>16.0%</w:t>
            </w:r>
          </w:p>
        </w:tc>
        <w:tc>
          <w:tcPr>
            <w:tcW w:w="2229" w:type="dxa"/>
          </w:tcPr>
          <w:p w:rsidR="00A8562B" w:rsidRPr="006A63AF" w:rsidRDefault="00A8562B" w:rsidP="006A63AF">
            <w:pPr>
              <w:contextualSpacing/>
              <w:rPr>
                <w:rFonts w:ascii="Garamond" w:hAnsi="Garamond"/>
              </w:rPr>
            </w:pPr>
            <w:r w:rsidRPr="006A63AF">
              <w:rPr>
                <w:rFonts w:ascii="Garamond" w:hAnsi="Garamond"/>
              </w:rPr>
              <w:t>9.5%</w:t>
            </w:r>
          </w:p>
        </w:tc>
        <w:tc>
          <w:tcPr>
            <w:tcW w:w="2183" w:type="dxa"/>
          </w:tcPr>
          <w:p w:rsidR="00A8562B" w:rsidRPr="006A63AF" w:rsidRDefault="00A8562B" w:rsidP="006A63AF">
            <w:pPr>
              <w:contextualSpacing/>
              <w:rPr>
                <w:rFonts w:ascii="Garamond" w:hAnsi="Garamond"/>
              </w:rPr>
            </w:pPr>
            <w:r w:rsidRPr="006A63AF">
              <w:rPr>
                <w:rFonts w:ascii="Garamond" w:hAnsi="Garamond"/>
              </w:rPr>
              <w:t>14.9%</w:t>
            </w:r>
          </w:p>
        </w:tc>
      </w:tr>
      <w:tr w:rsidR="00A8562B" w:rsidRPr="006A63AF" w:rsidTr="001B6FFE">
        <w:tc>
          <w:tcPr>
            <w:tcW w:w="2215" w:type="dxa"/>
          </w:tcPr>
          <w:p w:rsidR="00A8562B" w:rsidRPr="006A63AF" w:rsidRDefault="00A8562B" w:rsidP="006A63AF">
            <w:pPr>
              <w:contextualSpacing/>
              <w:rPr>
                <w:rFonts w:ascii="Garamond" w:hAnsi="Garamond"/>
              </w:rPr>
            </w:pPr>
            <w:r w:rsidRPr="006A63AF">
              <w:rPr>
                <w:rFonts w:ascii="Garamond" w:hAnsi="Garamond"/>
              </w:rPr>
              <w:t>25% to 29.9%</w:t>
            </w:r>
          </w:p>
        </w:tc>
        <w:tc>
          <w:tcPr>
            <w:tcW w:w="2229" w:type="dxa"/>
          </w:tcPr>
          <w:p w:rsidR="00A8562B" w:rsidRPr="006A63AF" w:rsidRDefault="00A8562B" w:rsidP="006A63AF">
            <w:pPr>
              <w:contextualSpacing/>
              <w:rPr>
                <w:rFonts w:ascii="Garamond" w:hAnsi="Garamond"/>
              </w:rPr>
            </w:pPr>
            <w:r w:rsidRPr="006A63AF">
              <w:rPr>
                <w:rFonts w:ascii="Garamond" w:hAnsi="Garamond"/>
              </w:rPr>
              <w:t>18.7%</w:t>
            </w:r>
          </w:p>
        </w:tc>
        <w:tc>
          <w:tcPr>
            <w:tcW w:w="2229" w:type="dxa"/>
          </w:tcPr>
          <w:p w:rsidR="00A8562B" w:rsidRPr="006A63AF" w:rsidRDefault="00A8562B" w:rsidP="006A63AF">
            <w:pPr>
              <w:contextualSpacing/>
              <w:rPr>
                <w:rFonts w:ascii="Garamond" w:hAnsi="Garamond"/>
              </w:rPr>
            </w:pPr>
            <w:r w:rsidRPr="006A63AF">
              <w:rPr>
                <w:rFonts w:ascii="Garamond" w:hAnsi="Garamond"/>
              </w:rPr>
              <w:t>7.9%</w:t>
            </w:r>
          </w:p>
        </w:tc>
        <w:tc>
          <w:tcPr>
            <w:tcW w:w="2183" w:type="dxa"/>
          </w:tcPr>
          <w:p w:rsidR="00A8562B" w:rsidRPr="006A63AF" w:rsidRDefault="00A8562B" w:rsidP="006A63AF">
            <w:pPr>
              <w:contextualSpacing/>
              <w:rPr>
                <w:rFonts w:ascii="Garamond" w:hAnsi="Garamond"/>
              </w:rPr>
            </w:pPr>
            <w:r w:rsidRPr="006A63AF">
              <w:rPr>
                <w:rFonts w:ascii="Garamond" w:hAnsi="Garamond"/>
              </w:rPr>
              <w:t>9.1%</w:t>
            </w:r>
          </w:p>
        </w:tc>
      </w:tr>
      <w:tr w:rsidR="00A8562B" w:rsidRPr="006A63AF" w:rsidTr="001B6FFE">
        <w:tc>
          <w:tcPr>
            <w:tcW w:w="2215" w:type="dxa"/>
          </w:tcPr>
          <w:p w:rsidR="00A8562B" w:rsidRPr="006A63AF" w:rsidRDefault="00A8562B" w:rsidP="006A63AF">
            <w:pPr>
              <w:contextualSpacing/>
              <w:rPr>
                <w:rFonts w:ascii="Garamond" w:hAnsi="Garamond"/>
              </w:rPr>
            </w:pPr>
            <w:r w:rsidRPr="006A63AF">
              <w:rPr>
                <w:rFonts w:ascii="Garamond" w:hAnsi="Garamond"/>
              </w:rPr>
              <w:t>30% to 34.9%</w:t>
            </w:r>
          </w:p>
        </w:tc>
        <w:tc>
          <w:tcPr>
            <w:tcW w:w="2229" w:type="dxa"/>
          </w:tcPr>
          <w:p w:rsidR="00A8562B" w:rsidRPr="006A63AF" w:rsidRDefault="00A8562B" w:rsidP="006A63AF">
            <w:pPr>
              <w:contextualSpacing/>
              <w:rPr>
                <w:rFonts w:ascii="Garamond" w:hAnsi="Garamond"/>
              </w:rPr>
            </w:pPr>
            <w:r w:rsidRPr="006A63AF">
              <w:rPr>
                <w:rFonts w:ascii="Garamond" w:hAnsi="Garamond"/>
              </w:rPr>
              <w:t>2.0%</w:t>
            </w:r>
          </w:p>
        </w:tc>
        <w:tc>
          <w:tcPr>
            <w:tcW w:w="2229" w:type="dxa"/>
          </w:tcPr>
          <w:p w:rsidR="00A8562B" w:rsidRPr="006A63AF" w:rsidRDefault="00A8562B" w:rsidP="006A63AF">
            <w:pPr>
              <w:contextualSpacing/>
              <w:rPr>
                <w:rFonts w:ascii="Garamond" w:hAnsi="Garamond"/>
              </w:rPr>
            </w:pPr>
            <w:r w:rsidRPr="006A63AF">
              <w:rPr>
                <w:rFonts w:ascii="Garamond" w:hAnsi="Garamond"/>
              </w:rPr>
              <w:t>1.5%</w:t>
            </w:r>
          </w:p>
        </w:tc>
        <w:tc>
          <w:tcPr>
            <w:tcW w:w="2183" w:type="dxa"/>
          </w:tcPr>
          <w:p w:rsidR="00A8562B" w:rsidRPr="006A63AF" w:rsidRDefault="00A8562B" w:rsidP="006A63AF">
            <w:pPr>
              <w:contextualSpacing/>
              <w:rPr>
                <w:rFonts w:ascii="Garamond" w:hAnsi="Garamond"/>
              </w:rPr>
            </w:pPr>
            <w:r w:rsidRPr="006A63AF">
              <w:rPr>
                <w:rFonts w:ascii="Garamond" w:hAnsi="Garamond"/>
              </w:rPr>
              <w:t>10.8%</w:t>
            </w:r>
          </w:p>
        </w:tc>
      </w:tr>
      <w:tr w:rsidR="00A8562B" w:rsidRPr="006A63AF" w:rsidTr="001B6FFE">
        <w:tc>
          <w:tcPr>
            <w:tcW w:w="2215" w:type="dxa"/>
          </w:tcPr>
          <w:p w:rsidR="00A8562B" w:rsidRPr="006A63AF" w:rsidRDefault="00A8562B" w:rsidP="006A63AF">
            <w:pPr>
              <w:contextualSpacing/>
              <w:rPr>
                <w:rFonts w:ascii="Garamond" w:hAnsi="Garamond"/>
              </w:rPr>
            </w:pPr>
            <w:r w:rsidRPr="006A63AF">
              <w:rPr>
                <w:rFonts w:ascii="Garamond" w:hAnsi="Garamond"/>
              </w:rPr>
              <w:t>35% or more</w:t>
            </w:r>
          </w:p>
        </w:tc>
        <w:tc>
          <w:tcPr>
            <w:tcW w:w="2229" w:type="dxa"/>
          </w:tcPr>
          <w:p w:rsidR="00A8562B" w:rsidRPr="006A63AF" w:rsidRDefault="00A8562B" w:rsidP="006A63AF">
            <w:pPr>
              <w:contextualSpacing/>
              <w:rPr>
                <w:rFonts w:ascii="Garamond" w:hAnsi="Garamond"/>
              </w:rPr>
            </w:pPr>
            <w:r w:rsidRPr="006A63AF">
              <w:rPr>
                <w:rFonts w:ascii="Garamond" w:hAnsi="Garamond"/>
              </w:rPr>
              <w:t>37.5%</w:t>
            </w:r>
          </w:p>
        </w:tc>
        <w:tc>
          <w:tcPr>
            <w:tcW w:w="2229" w:type="dxa"/>
          </w:tcPr>
          <w:p w:rsidR="00A8562B" w:rsidRPr="006A63AF" w:rsidRDefault="00A8562B" w:rsidP="006A63AF">
            <w:pPr>
              <w:contextualSpacing/>
              <w:rPr>
                <w:rFonts w:ascii="Garamond" w:hAnsi="Garamond"/>
              </w:rPr>
            </w:pPr>
            <w:r w:rsidRPr="006A63AF">
              <w:rPr>
                <w:rFonts w:ascii="Garamond" w:hAnsi="Garamond"/>
              </w:rPr>
              <w:t>19.0%</w:t>
            </w:r>
          </w:p>
        </w:tc>
        <w:tc>
          <w:tcPr>
            <w:tcW w:w="2183" w:type="dxa"/>
          </w:tcPr>
          <w:p w:rsidR="00A8562B" w:rsidRPr="006A63AF" w:rsidRDefault="00A8562B" w:rsidP="00EE571F">
            <w:pPr>
              <w:keepNext/>
              <w:contextualSpacing/>
              <w:rPr>
                <w:rFonts w:ascii="Garamond" w:hAnsi="Garamond"/>
              </w:rPr>
            </w:pPr>
            <w:r w:rsidRPr="006A63AF">
              <w:rPr>
                <w:rFonts w:ascii="Garamond" w:hAnsi="Garamond"/>
              </w:rPr>
              <w:t>35.9%</w:t>
            </w:r>
          </w:p>
        </w:tc>
      </w:tr>
    </w:tbl>
    <w:p w:rsidR="00EE571F" w:rsidRDefault="00EE571F" w:rsidP="00EE571F">
      <w:pPr>
        <w:pStyle w:val="Caption"/>
        <w:framePr w:hSpace="180" w:wrap="around" w:vAnchor="text" w:hAnchor="page" w:x="1909" w:y="-66"/>
      </w:pPr>
      <w:r>
        <w:t xml:space="preserve">Figure </w:t>
      </w:r>
      <w:fldSimple w:instr=" SEQ Figure \* ARABIC ">
        <w:r w:rsidR="00707511">
          <w:rPr>
            <w:noProof/>
          </w:rPr>
          <w:t>23</w:t>
        </w:r>
      </w:fldSimple>
    </w:p>
    <w:p w:rsidR="00BC10AC" w:rsidRDefault="00BC10AC" w:rsidP="006A63AF">
      <w:pPr>
        <w:spacing w:line="240" w:lineRule="auto"/>
        <w:contextualSpacing/>
        <w:rPr>
          <w:b/>
          <w:color w:val="4E5612"/>
          <w:sz w:val="25"/>
        </w:rPr>
      </w:pPr>
    </w:p>
    <w:p w:rsidR="00BC10AC" w:rsidRDefault="00BC10AC"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Number of Homes and Rentals</w:t>
      </w:r>
    </w:p>
    <w:p w:rsidR="00A8562B" w:rsidRPr="006A63AF" w:rsidRDefault="00A8562B" w:rsidP="006A63AF">
      <w:pPr>
        <w:spacing w:line="240" w:lineRule="auto"/>
        <w:contextualSpacing/>
      </w:pPr>
      <w:r w:rsidRPr="006A63AF">
        <w:t xml:space="preserve">The total housing units as of the 2010 census was 12,698 with a margin of error of +/- 219 units. 6,939 housing units were estimated as occupied with a margin of error +/- 599 units. There was an </w:t>
      </w:r>
      <w:r w:rsidRPr="006A63AF">
        <w:lastRenderedPageBreak/>
        <w:t>estimated 5,759 vacant housing units with a margin of error o</w:t>
      </w:r>
      <w:r w:rsidR="00764386">
        <w:t>f +/- 543 units. The amount of r</w:t>
      </w:r>
      <w:r w:rsidRPr="006A63AF">
        <w:t>enter-occupied homes is an estimated 2,372 units with an estimated margin of error of +/- 612 units.</w:t>
      </w:r>
      <w:r w:rsidRPr="006A63AF">
        <w:rPr>
          <w:rStyle w:val="FootnoteReference"/>
        </w:rPr>
        <w:footnoteReference w:id="33"/>
      </w:r>
      <w:r w:rsidRPr="006A63AF">
        <w:t xml:space="preserve"> Due to the amount of tourism in Jackson we can assume the large amount of vacant housing units is due to the large amount of vacation homes.</w:t>
      </w:r>
    </w:p>
    <w:p w:rsidR="00764386" w:rsidRDefault="00764386" w:rsidP="006A63AF">
      <w:pPr>
        <w:spacing w:line="240" w:lineRule="auto"/>
        <w:contextualSpacing/>
        <w:rPr>
          <w:b/>
          <w:color w:val="4E5612"/>
          <w:sz w:val="25"/>
        </w:rPr>
      </w:pPr>
    </w:p>
    <w:p w:rsidR="00A8562B" w:rsidRPr="00764386" w:rsidRDefault="00A8562B" w:rsidP="006A63AF">
      <w:pPr>
        <w:spacing w:line="240" w:lineRule="auto"/>
        <w:contextualSpacing/>
        <w:rPr>
          <w:b/>
          <w:color w:val="4E5612"/>
          <w:sz w:val="25"/>
        </w:rPr>
      </w:pPr>
      <w:r w:rsidRPr="00764386">
        <w:rPr>
          <w:b/>
          <w:color w:val="4E5612"/>
          <w:sz w:val="25"/>
        </w:rPr>
        <w:t>Supply vs. Demand for Housing Units</w:t>
      </w:r>
    </w:p>
    <w:p w:rsidR="00A8562B" w:rsidRPr="006A63AF" w:rsidRDefault="00A8562B" w:rsidP="006A63AF">
      <w:pPr>
        <w:spacing w:line="240" w:lineRule="auto"/>
        <w:contextualSpacing/>
      </w:pPr>
      <w:r w:rsidRPr="006A63AF">
        <w:t>As of 2010, the number of listed vacant housing units was 3,840. This percentage makes up about 30% of the total housing units in Teton County, Wyoming.  The number of real estate listings as of 2010 in Teton County, Wyoming including units for rent and for sale only is 752 units.</w:t>
      </w:r>
      <w:r w:rsidRPr="006A63AF">
        <w:rPr>
          <w:rStyle w:val="FootnoteReference"/>
        </w:rPr>
        <w:footnoteReference w:id="34"/>
      </w:r>
      <w:r w:rsidRPr="006A63AF">
        <w:t xml:space="preserve"> The average sales price in Teton County Wyoming is listed as $1,974,629 in 2010.</w:t>
      </w:r>
      <w:r w:rsidRPr="006A63AF">
        <w:rPr>
          <w:rStyle w:val="FootnoteReference"/>
        </w:rPr>
        <w:footnoteReference w:id="35"/>
      </w:r>
    </w:p>
    <w:p w:rsidR="00AA2CEB" w:rsidRDefault="00AA2CEB">
      <w:pPr>
        <w:rPr>
          <w:rFonts w:eastAsiaTheme="majorEastAsia" w:cstheme="majorBidi"/>
          <w:b/>
          <w:bCs/>
          <w:color w:val="4E5612"/>
          <w:sz w:val="28"/>
          <w:szCs w:val="28"/>
        </w:rPr>
      </w:pPr>
      <w:r>
        <w:rPr>
          <w:color w:val="4E5612"/>
        </w:rPr>
        <w:br w:type="page"/>
      </w:r>
    </w:p>
    <w:p w:rsidR="00A77B10" w:rsidRPr="00B5536D" w:rsidRDefault="00A77B10" w:rsidP="00A77B10">
      <w:pPr>
        <w:pStyle w:val="Heading1"/>
        <w:spacing w:line="240" w:lineRule="auto"/>
        <w:contextualSpacing/>
        <w:rPr>
          <w:color w:val="4E5612"/>
        </w:rPr>
      </w:pPr>
      <w:bookmarkStart w:id="10" w:name="_Toc329954136"/>
      <w:r>
        <w:rPr>
          <w:color w:val="4E5612"/>
        </w:rPr>
        <w:lastRenderedPageBreak/>
        <w:t xml:space="preserve">City </w:t>
      </w:r>
      <w:r w:rsidRPr="00B5536D">
        <w:rPr>
          <w:color w:val="4E5612"/>
        </w:rPr>
        <w:t>Housing Market Analysis</w:t>
      </w:r>
      <w:bookmarkEnd w:id="10"/>
    </w:p>
    <w:p w:rsidR="00B864AC" w:rsidRDefault="00B5536D" w:rsidP="00A77B10">
      <w:pPr>
        <w:pStyle w:val="Heading2"/>
        <w:spacing w:line="240" w:lineRule="auto"/>
        <w:contextualSpacing/>
        <w:rPr>
          <w:color w:val="4E5612"/>
        </w:rPr>
      </w:pPr>
      <w:bookmarkStart w:id="11" w:name="_Toc329954137"/>
      <w:r w:rsidRPr="00764386">
        <w:rPr>
          <w:color w:val="4E5612"/>
        </w:rPr>
        <w:t>Rexburg, Idaho</w:t>
      </w:r>
      <w:bookmarkEnd w:id="11"/>
    </w:p>
    <w:p w:rsidR="00764386" w:rsidRPr="00B864AC" w:rsidRDefault="00764386" w:rsidP="00A77B10">
      <w:pPr>
        <w:spacing w:line="240" w:lineRule="auto"/>
        <w:contextualSpacing/>
      </w:pPr>
    </w:p>
    <w:p w:rsidR="00764386" w:rsidRPr="00764386" w:rsidRDefault="00B5536D" w:rsidP="00A77B10">
      <w:pPr>
        <w:spacing w:line="240" w:lineRule="auto"/>
        <w:contextualSpacing/>
        <w:rPr>
          <w:b/>
          <w:color w:val="4E5612"/>
          <w:sz w:val="25"/>
        </w:rPr>
      </w:pPr>
      <w:r w:rsidRPr="00764386">
        <w:rPr>
          <w:b/>
          <w:color w:val="4E5612"/>
          <w:sz w:val="25"/>
        </w:rPr>
        <w:t>Population</w:t>
      </w:r>
    </w:p>
    <w:p w:rsidR="00B5536D" w:rsidRPr="00764386" w:rsidRDefault="00B5536D" w:rsidP="00764386">
      <w:pPr>
        <w:spacing w:line="240" w:lineRule="auto"/>
        <w:contextualSpacing/>
      </w:pPr>
      <w:r w:rsidRPr="00764386">
        <w:t xml:space="preserve">From 2000 to 2010 the population of Rexburg grew 47.7%. In 2000, the population was 17,257 compared to 25,484 in 2010. Much of this growth can be attributed to the change of Ricks College to Brigham Young University Idaho and the subsequent increase in enrollment. </w:t>
      </w:r>
    </w:p>
    <w:p w:rsidR="00764386" w:rsidRDefault="00764386" w:rsidP="00764386">
      <w:pPr>
        <w:spacing w:line="240" w:lineRule="auto"/>
        <w:contextualSpacing/>
      </w:pPr>
    </w:p>
    <w:p w:rsidR="00B5536D" w:rsidRPr="00764386" w:rsidRDefault="00B5536D" w:rsidP="00764386">
      <w:pPr>
        <w:spacing w:line="240" w:lineRule="auto"/>
        <w:contextualSpacing/>
        <w:rPr>
          <w:b/>
          <w:color w:val="4E5612"/>
          <w:sz w:val="25"/>
        </w:rPr>
      </w:pPr>
      <w:r w:rsidRPr="00764386">
        <w:rPr>
          <w:b/>
          <w:color w:val="4E5612"/>
          <w:sz w:val="25"/>
        </w:rPr>
        <w:t>Age</w:t>
      </w:r>
    </w:p>
    <w:p w:rsidR="00B864AC" w:rsidRDefault="00B5536D" w:rsidP="00764386">
      <w:pPr>
        <w:spacing w:line="240" w:lineRule="auto"/>
        <w:contextualSpacing/>
      </w:pPr>
      <w:r w:rsidRPr="00764386">
        <w:t xml:space="preserve">The average age in Rexburg reflects a typical college town. The vast majority of the population is between the ages of 20-29. </w:t>
      </w:r>
    </w:p>
    <w:p w:rsidR="00B5536D" w:rsidRPr="00764386" w:rsidRDefault="00B5536D" w:rsidP="00764386">
      <w:pPr>
        <w:spacing w:line="240" w:lineRule="auto"/>
        <w:contextualSpacing/>
      </w:pPr>
    </w:p>
    <w:tbl>
      <w:tblPr>
        <w:tblW w:w="2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060"/>
      </w:tblGrid>
      <w:tr w:rsidR="00B5536D" w:rsidRPr="00790479" w:rsidTr="001B6FFE">
        <w:trPr>
          <w:trHeight w:val="240"/>
          <w:jc w:val="center"/>
        </w:trPr>
        <w:tc>
          <w:tcPr>
            <w:tcW w:w="2120" w:type="dxa"/>
            <w:gridSpan w:val="2"/>
            <w:shd w:val="clear" w:color="auto" w:fill="auto"/>
            <w:noWrap/>
            <w:vAlign w:val="bottom"/>
          </w:tcPr>
          <w:p w:rsidR="00B5536D" w:rsidRPr="00790479" w:rsidRDefault="00B5536D" w:rsidP="00764386">
            <w:pPr>
              <w:spacing w:line="240" w:lineRule="auto"/>
              <w:contextualSpacing/>
              <w:jc w:val="center"/>
              <w:rPr>
                <w:rFonts w:ascii="Arial" w:hAnsi="Arial"/>
                <w:sz w:val="20"/>
                <w:szCs w:val="20"/>
              </w:rPr>
            </w:pPr>
            <w:r>
              <w:rPr>
                <w:rFonts w:ascii="Arial" w:hAnsi="Arial"/>
                <w:sz w:val="20"/>
                <w:szCs w:val="20"/>
              </w:rPr>
              <w:t>Rexburg, Idaho</w:t>
            </w:r>
          </w:p>
        </w:tc>
      </w:tr>
      <w:tr w:rsidR="00B5536D" w:rsidRPr="00790479" w:rsidTr="001B6FFE">
        <w:trPr>
          <w:trHeight w:val="240"/>
          <w:jc w:val="center"/>
        </w:trPr>
        <w:tc>
          <w:tcPr>
            <w:tcW w:w="1060" w:type="dxa"/>
            <w:shd w:val="clear" w:color="auto" w:fill="auto"/>
            <w:noWrap/>
            <w:vAlign w:val="bottom"/>
          </w:tcPr>
          <w:p w:rsidR="00B5536D" w:rsidRPr="00790479" w:rsidRDefault="00B5536D" w:rsidP="00764386">
            <w:pPr>
              <w:spacing w:line="240" w:lineRule="auto"/>
              <w:contextualSpacing/>
              <w:rPr>
                <w:rFonts w:ascii="Arial" w:hAnsi="Arial"/>
                <w:sz w:val="20"/>
                <w:szCs w:val="20"/>
              </w:rPr>
            </w:pPr>
            <w:r w:rsidRPr="00790479">
              <w:rPr>
                <w:rFonts w:ascii="Arial" w:hAnsi="Arial"/>
                <w:sz w:val="20"/>
                <w:szCs w:val="20"/>
              </w:rPr>
              <w:t>Age</w:t>
            </w:r>
          </w:p>
        </w:tc>
        <w:tc>
          <w:tcPr>
            <w:tcW w:w="1060" w:type="dxa"/>
            <w:shd w:val="clear" w:color="auto" w:fill="auto"/>
            <w:noWrap/>
            <w:vAlign w:val="bottom"/>
          </w:tcPr>
          <w:p w:rsidR="00B5536D" w:rsidRPr="00790479" w:rsidRDefault="00B5536D" w:rsidP="00764386">
            <w:pPr>
              <w:spacing w:line="240" w:lineRule="auto"/>
              <w:contextualSpacing/>
              <w:rPr>
                <w:rFonts w:ascii="Arial" w:hAnsi="Arial"/>
                <w:sz w:val="20"/>
                <w:szCs w:val="20"/>
              </w:rPr>
            </w:pPr>
            <w:r w:rsidRPr="00790479">
              <w:rPr>
                <w:rFonts w:ascii="Arial" w:hAnsi="Arial"/>
                <w:sz w:val="20"/>
                <w:szCs w:val="20"/>
              </w:rPr>
              <w:t>Number</w:t>
            </w:r>
          </w:p>
        </w:tc>
      </w:tr>
      <w:tr w:rsidR="00B5536D" w:rsidRPr="00790479" w:rsidTr="001B6FFE">
        <w:trPr>
          <w:trHeight w:val="240"/>
          <w:jc w:val="center"/>
        </w:trPr>
        <w:tc>
          <w:tcPr>
            <w:tcW w:w="1060" w:type="dxa"/>
            <w:shd w:val="clear" w:color="auto" w:fill="auto"/>
            <w:noWrap/>
            <w:vAlign w:val="bottom"/>
          </w:tcPr>
          <w:p w:rsidR="00B5536D" w:rsidRPr="00790479" w:rsidRDefault="00B5536D" w:rsidP="00764386">
            <w:pPr>
              <w:spacing w:line="240" w:lineRule="auto"/>
              <w:contextualSpacing/>
              <w:rPr>
                <w:rFonts w:ascii="Arial" w:hAnsi="Arial"/>
                <w:sz w:val="20"/>
                <w:szCs w:val="20"/>
              </w:rPr>
            </w:pPr>
            <w:r w:rsidRPr="00790479">
              <w:rPr>
                <w:rFonts w:ascii="Arial" w:hAnsi="Arial"/>
                <w:sz w:val="20"/>
                <w:szCs w:val="20"/>
              </w:rPr>
              <w:t>Under 9</w:t>
            </w:r>
          </w:p>
        </w:tc>
        <w:tc>
          <w:tcPr>
            <w:tcW w:w="1060" w:type="dxa"/>
            <w:shd w:val="clear" w:color="auto" w:fill="auto"/>
            <w:noWrap/>
            <w:vAlign w:val="bottom"/>
          </w:tcPr>
          <w:p w:rsidR="00B5536D" w:rsidRPr="00790479" w:rsidRDefault="00B5536D" w:rsidP="00764386">
            <w:pPr>
              <w:spacing w:line="240" w:lineRule="auto"/>
              <w:contextualSpacing/>
              <w:jc w:val="right"/>
              <w:rPr>
                <w:rFonts w:ascii="Arial" w:hAnsi="Arial"/>
                <w:sz w:val="20"/>
                <w:szCs w:val="20"/>
              </w:rPr>
            </w:pPr>
            <w:r>
              <w:rPr>
                <w:rFonts w:ascii="Arial" w:hAnsi="Arial"/>
                <w:sz w:val="20"/>
                <w:szCs w:val="20"/>
              </w:rPr>
              <w:t>3,599</w:t>
            </w:r>
          </w:p>
        </w:tc>
      </w:tr>
      <w:tr w:rsidR="00B5536D" w:rsidRPr="00790479" w:rsidTr="001B6FFE">
        <w:trPr>
          <w:trHeight w:val="240"/>
          <w:jc w:val="center"/>
        </w:trPr>
        <w:tc>
          <w:tcPr>
            <w:tcW w:w="1060" w:type="dxa"/>
            <w:shd w:val="clear" w:color="auto" w:fill="auto"/>
            <w:noWrap/>
            <w:vAlign w:val="bottom"/>
          </w:tcPr>
          <w:p w:rsidR="00B5536D" w:rsidRPr="00790479" w:rsidRDefault="00B5536D" w:rsidP="00764386">
            <w:pPr>
              <w:spacing w:line="240" w:lineRule="auto"/>
              <w:contextualSpacing/>
              <w:rPr>
                <w:rFonts w:ascii="Arial" w:hAnsi="Arial"/>
                <w:sz w:val="20"/>
                <w:szCs w:val="20"/>
              </w:rPr>
            </w:pPr>
            <w:r>
              <w:rPr>
                <w:rFonts w:ascii="Arial" w:hAnsi="Arial"/>
                <w:sz w:val="20"/>
                <w:szCs w:val="20"/>
              </w:rPr>
              <w:t>10-</w:t>
            </w:r>
            <w:r w:rsidRPr="00790479">
              <w:rPr>
                <w:rFonts w:ascii="Arial" w:hAnsi="Arial"/>
                <w:sz w:val="20"/>
                <w:szCs w:val="20"/>
              </w:rPr>
              <w:t>19</w:t>
            </w:r>
          </w:p>
        </w:tc>
        <w:tc>
          <w:tcPr>
            <w:tcW w:w="1060" w:type="dxa"/>
            <w:shd w:val="clear" w:color="auto" w:fill="auto"/>
            <w:noWrap/>
            <w:vAlign w:val="bottom"/>
          </w:tcPr>
          <w:p w:rsidR="00B5536D" w:rsidRPr="00790479" w:rsidRDefault="00B5536D" w:rsidP="00764386">
            <w:pPr>
              <w:spacing w:line="240" w:lineRule="auto"/>
              <w:contextualSpacing/>
              <w:jc w:val="right"/>
              <w:rPr>
                <w:rFonts w:ascii="Arial" w:hAnsi="Arial"/>
                <w:sz w:val="20"/>
                <w:szCs w:val="20"/>
              </w:rPr>
            </w:pPr>
            <w:r>
              <w:rPr>
                <w:rFonts w:ascii="Arial" w:hAnsi="Arial"/>
                <w:sz w:val="20"/>
                <w:szCs w:val="20"/>
              </w:rPr>
              <w:t>4,712</w:t>
            </w:r>
          </w:p>
        </w:tc>
      </w:tr>
      <w:tr w:rsidR="00B5536D" w:rsidRPr="00790479" w:rsidTr="001B6FFE">
        <w:trPr>
          <w:trHeight w:val="240"/>
          <w:jc w:val="center"/>
        </w:trPr>
        <w:tc>
          <w:tcPr>
            <w:tcW w:w="1060" w:type="dxa"/>
            <w:shd w:val="clear" w:color="auto" w:fill="auto"/>
            <w:noWrap/>
            <w:vAlign w:val="bottom"/>
          </w:tcPr>
          <w:p w:rsidR="00B5536D" w:rsidRPr="00790479" w:rsidRDefault="00B5536D" w:rsidP="00764386">
            <w:pPr>
              <w:spacing w:line="240" w:lineRule="auto"/>
              <w:contextualSpacing/>
              <w:rPr>
                <w:rFonts w:ascii="Arial" w:hAnsi="Arial"/>
                <w:sz w:val="20"/>
                <w:szCs w:val="20"/>
              </w:rPr>
            </w:pPr>
            <w:r>
              <w:rPr>
                <w:rFonts w:ascii="Arial" w:hAnsi="Arial"/>
                <w:sz w:val="20"/>
                <w:szCs w:val="20"/>
              </w:rPr>
              <w:t>20</w:t>
            </w:r>
            <w:r w:rsidRPr="00790479">
              <w:rPr>
                <w:rFonts w:ascii="Arial" w:hAnsi="Arial"/>
                <w:sz w:val="20"/>
                <w:szCs w:val="20"/>
              </w:rPr>
              <w:t>-29</w:t>
            </w:r>
          </w:p>
        </w:tc>
        <w:tc>
          <w:tcPr>
            <w:tcW w:w="1060" w:type="dxa"/>
            <w:shd w:val="clear" w:color="auto" w:fill="auto"/>
            <w:noWrap/>
            <w:vAlign w:val="bottom"/>
          </w:tcPr>
          <w:p w:rsidR="00B5536D" w:rsidRPr="00790479" w:rsidRDefault="00B5536D" w:rsidP="00764386">
            <w:pPr>
              <w:spacing w:line="240" w:lineRule="auto"/>
              <w:contextualSpacing/>
              <w:jc w:val="right"/>
              <w:rPr>
                <w:rFonts w:ascii="Arial" w:hAnsi="Arial"/>
                <w:sz w:val="20"/>
                <w:szCs w:val="20"/>
              </w:rPr>
            </w:pPr>
            <w:r>
              <w:rPr>
                <w:rFonts w:ascii="Arial" w:hAnsi="Arial"/>
                <w:sz w:val="20"/>
                <w:szCs w:val="20"/>
              </w:rPr>
              <w:t>12,510</w:t>
            </w:r>
          </w:p>
        </w:tc>
      </w:tr>
      <w:tr w:rsidR="00B5536D" w:rsidRPr="00790479" w:rsidTr="001B6FFE">
        <w:trPr>
          <w:trHeight w:val="240"/>
          <w:jc w:val="center"/>
        </w:trPr>
        <w:tc>
          <w:tcPr>
            <w:tcW w:w="1060" w:type="dxa"/>
            <w:shd w:val="clear" w:color="auto" w:fill="auto"/>
            <w:noWrap/>
            <w:vAlign w:val="bottom"/>
          </w:tcPr>
          <w:p w:rsidR="00B5536D" w:rsidRPr="00790479" w:rsidRDefault="00B5536D" w:rsidP="00764386">
            <w:pPr>
              <w:spacing w:line="240" w:lineRule="auto"/>
              <w:contextualSpacing/>
              <w:rPr>
                <w:rFonts w:ascii="Arial" w:hAnsi="Arial"/>
                <w:sz w:val="20"/>
                <w:szCs w:val="20"/>
              </w:rPr>
            </w:pPr>
            <w:r>
              <w:rPr>
                <w:rFonts w:ascii="Arial" w:hAnsi="Arial"/>
                <w:sz w:val="20"/>
                <w:szCs w:val="20"/>
              </w:rPr>
              <w:t>30</w:t>
            </w:r>
            <w:r w:rsidRPr="00790479">
              <w:rPr>
                <w:rFonts w:ascii="Arial" w:hAnsi="Arial"/>
                <w:sz w:val="20"/>
                <w:szCs w:val="20"/>
              </w:rPr>
              <w:t>-39</w:t>
            </w:r>
          </w:p>
        </w:tc>
        <w:tc>
          <w:tcPr>
            <w:tcW w:w="1060" w:type="dxa"/>
            <w:shd w:val="clear" w:color="auto" w:fill="auto"/>
            <w:noWrap/>
            <w:vAlign w:val="bottom"/>
          </w:tcPr>
          <w:p w:rsidR="00B5536D" w:rsidRPr="00790479" w:rsidRDefault="00B5536D" w:rsidP="00764386">
            <w:pPr>
              <w:spacing w:line="240" w:lineRule="auto"/>
              <w:contextualSpacing/>
              <w:jc w:val="right"/>
              <w:rPr>
                <w:rFonts w:ascii="Arial" w:hAnsi="Arial"/>
                <w:sz w:val="20"/>
                <w:szCs w:val="20"/>
              </w:rPr>
            </w:pPr>
            <w:r>
              <w:rPr>
                <w:rFonts w:ascii="Arial" w:hAnsi="Arial"/>
                <w:sz w:val="20"/>
                <w:szCs w:val="20"/>
              </w:rPr>
              <w:t>1,495</w:t>
            </w:r>
          </w:p>
        </w:tc>
      </w:tr>
      <w:tr w:rsidR="00B5536D" w:rsidRPr="00790479" w:rsidTr="001B6FFE">
        <w:trPr>
          <w:trHeight w:val="240"/>
          <w:jc w:val="center"/>
        </w:trPr>
        <w:tc>
          <w:tcPr>
            <w:tcW w:w="1060" w:type="dxa"/>
            <w:shd w:val="clear" w:color="auto" w:fill="auto"/>
            <w:noWrap/>
            <w:vAlign w:val="bottom"/>
          </w:tcPr>
          <w:p w:rsidR="00B5536D" w:rsidRPr="00790479" w:rsidRDefault="00B5536D" w:rsidP="00764386">
            <w:pPr>
              <w:spacing w:line="240" w:lineRule="auto"/>
              <w:contextualSpacing/>
              <w:rPr>
                <w:rFonts w:ascii="Arial" w:hAnsi="Arial"/>
                <w:sz w:val="20"/>
                <w:szCs w:val="20"/>
              </w:rPr>
            </w:pPr>
            <w:r>
              <w:rPr>
                <w:rFonts w:ascii="Arial" w:hAnsi="Arial"/>
                <w:sz w:val="20"/>
                <w:szCs w:val="20"/>
              </w:rPr>
              <w:t>40</w:t>
            </w:r>
            <w:r w:rsidRPr="00790479">
              <w:rPr>
                <w:rFonts w:ascii="Arial" w:hAnsi="Arial"/>
                <w:sz w:val="20"/>
                <w:szCs w:val="20"/>
              </w:rPr>
              <w:t>-49</w:t>
            </w:r>
          </w:p>
        </w:tc>
        <w:tc>
          <w:tcPr>
            <w:tcW w:w="1060" w:type="dxa"/>
            <w:shd w:val="clear" w:color="auto" w:fill="auto"/>
            <w:noWrap/>
            <w:vAlign w:val="bottom"/>
          </w:tcPr>
          <w:p w:rsidR="00B5536D" w:rsidRPr="00790479" w:rsidRDefault="00B5536D" w:rsidP="00764386">
            <w:pPr>
              <w:spacing w:line="240" w:lineRule="auto"/>
              <w:contextualSpacing/>
              <w:jc w:val="right"/>
              <w:rPr>
                <w:rFonts w:ascii="Arial" w:hAnsi="Arial"/>
                <w:sz w:val="20"/>
                <w:szCs w:val="20"/>
              </w:rPr>
            </w:pPr>
            <w:r>
              <w:rPr>
                <w:rFonts w:ascii="Arial" w:hAnsi="Arial"/>
                <w:sz w:val="20"/>
                <w:szCs w:val="20"/>
              </w:rPr>
              <w:t>979</w:t>
            </w:r>
          </w:p>
        </w:tc>
      </w:tr>
      <w:tr w:rsidR="00B5536D" w:rsidRPr="00790479" w:rsidTr="001B6FFE">
        <w:trPr>
          <w:trHeight w:val="240"/>
          <w:jc w:val="center"/>
        </w:trPr>
        <w:tc>
          <w:tcPr>
            <w:tcW w:w="1060" w:type="dxa"/>
            <w:shd w:val="clear" w:color="auto" w:fill="auto"/>
            <w:noWrap/>
            <w:vAlign w:val="bottom"/>
          </w:tcPr>
          <w:p w:rsidR="00B5536D" w:rsidRPr="00790479" w:rsidRDefault="00B5536D" w:rsidP="00764386">
            <w:pPr>
              <w:spacing w:line="240" w:lineRule="auto"/>
              <w:contextualSpacing/>
              <w:rPr>
                <w:rFonts w:ascii="Arial" w:hAnsi="Arial"/>
                <w:sz w:val="20"/>
                <w:szCs w:val="20"/>
              </w:rPr>
            </w:pPr>
            <w:r>
              <w:rPr>
                <w:rFonts w:ascii="Arial" w:hAnsi="Arial"/>
                <w:sz w:val="20"/>
                <w:szCs w:val="20"/>
              </w:rPr>
              <w:t>50</w:t>
            </w:r>
            <w:r w:rsidRPr="00790479">
              <w:rPr>
                <w:rFonts w:ascii="Arial" w:hAnsi="Arial"/>
                <w:sz w:val="20"/>
                <w:szCs w:val="20"/>
              </w:rPr>
              <w:t>-59</w:t>
            </w:r>
          </w:p>
        </w:tc>
        <w:tc>
          <w:tcPr>
            <w:tcW w:w="1060" w:type="dxa"/>
            <w:shd w:val="clear" w:color="auto" w:fill="auto"/>
            <w:noWrap/>
            <w:vAlign w:val="bottom"/>
          </w:tcPr>
          <w:p w:rsidR="00B5536D" w:rsidRPr="00790479" w:rsidRDefault="00B5536D" w:rsidP="00764386">
            <w:pPr>
              <w:spacing w:line="240" w:lineRule="auto"/>
              <w:contextualSpacing/>
              <w:jc w:val="right"/>
              <w:rPr>
                <w:rFonts w:ascii="Arial" w:hAnsi="Arial"/>
                <w:sz w:val="20"/>
                <w:szCs w:val="20"/>
              </w:rPr>
            </w:pPr>
            <w:r>
              <w:rPr>
                <w:rFonts w:ascii="Arial" w:hAnsi="Arial"/>
                <w:sz w:val="20"/>
                <w:szCs w:val="20"/>
              </w:rPr>
              <w:t>920</w:t>
            </w:r>
          </w:p>
        </w:tc>
      </w:tr>
      <w:tr w:rsidR="00B5536D" w:rsidRPr="00790479" w:rsidTr="001B6FFE">
        <w:trPr>
          <w:trHeight w:val="240"/>
          <w:jc w:val="center"/>
        </w:trPr>
        <w:tc>
          <w:tcPr>
            <w:tcW w:w="1060" w:type="dxa"/>
            <w:shd w:val="clear" w:color="auto" w:fill="auto"/>
            <w:noWrap/>
            <w:vAlign w:val="bottom"/>
          </w:tcPr>
          <w:p w:rsidR="00B5536D" w:rsidRPr="00790479" w:rsidRDefault="00B5536D" w:rsidP="00764386">
            <w:pPr>
              <w:spacing w:line="240" w:lineRule="auto"/>
              <w:contextualSpacing/>
              <w:rPr>
                <w:rFonts w:ascii="Arial" w:hAnsi="Arial"/>
                <w:sz w:val="20"/>
                <w:szCs w:val="20"/>
              </w:rPr>
            </w:pPr>
            <w:r>
              <w:rPr>
                <w:rFonts w:ascii="Arial" w:hAnsi="Arial"/>
                <w:sz w:val="20"/>
                <w:szCs w:val="20"/>
              </w:rPr>
              <w:t>60</w:t>
            </w:r>
            <w:r w:rsidRPr="00790479">
              <w:rPr>
                <w:rFonts w:ascii="Arial" w:hAnsi="Arial"/>
                <w:sz w:val="20"/>
                <w:szCs w:val="20"/>
              </w:rPr>
              <w:t>-69</w:t>
            </w:r>
          </w:p>
        </w:tc>
        <w:tc>
          <w:tcPr>
            <w:tcW w:w="1060" w:type="dxa"/>
            <w:shd w:val="clear" w:color="auto" w:fill="auto"/>
            <w:noWrap/>
            <w:vAlign w:val="bottom"/>
          </w:tcPr>
          <w:p w:rsidR="00B5536D" w:rsidRPr="00790479" w:rsidRDefault="00B5536D" w:rsidP="00764386">
            <w:pPr>
              <w:spacing w:line="240" w:lineRule="auto"/>
              <w:contextualSpacing/>
              <w:jc w:val="right"/>
              <w:rPr>
                <w:rFonts w:ascii="Arial" w:hAnsi="Arial"/>
                <w:sz w:val="20"/>
                <w:szCs w:val="20"/>
              </w:rPr>
            </w:pPr>
            <w:r>
              <w:rPr>
                <w:rFonts w:ascii="Arial" w:hAnsi="Arial"/>
                <w:sz w:val="20"/>
                <w:szCs w:val="20"/>
              </w:rPr>
              <w:t>570</w:t>
            </w:r>
          </w:p>
        </w:tc>
      </w:tr>
      <w:tr w:rsidR="00B5536D" w:rsidRPr="00790479" w:rsidTr="001B6FFE">
        <w:trPr>
          <w:trHeight w:val="240"/>
          <w:jc w:val="center"/>
        </w:trPr>
        <w:tc>
          <w:tcPr>
            <w:tcW w:w="1060" w:type="dxa"/>
            <w:shd w:val="clear" w:color="auto" w:fill="auto"/>
            <w:noWrap/>
            <w:vAlign w:val="bottom"/>
          </w:tcPr>
          <w:p w:rsidR="00B5536D" w:rsidRPr="00790479" w:rsidRDefault="00B5536D" w:rsidP="00764386">
            <w:pPr>
              <w:spacing w:line="240" w:lineRule="auto"/>
              <w:contextualSpacing/>
              <w:rPr>
                <w:rFonts w:ascii="Arial" w:hAnsi="Arial"/>
                <w:sz w:val="20"/>
                <w:szCs w:val="20"/>
              </w:rPr>
            </w:pPr>
            <w:r>
              <w:rPr>
                <w:rFonts w:ascii="Arial" w:hAnsi="Arial"/>
                <w:sz w:val="20"/>
                <w:szCs w:val="20"/>
              </w:rPr>
              <w:t>70</w:t>
            </w:r>
            <w:r w:rsidRPr="00790479">
              <w:rPr>
                <w:rFonts w:ascii="Arial" w:hAnsi="Arial"/>
                <w:sz w:val="20"/>
                <w:szCs w:val="20"/>
              </w:rPr>
              <w:t>-79</w:t>
            </w:r>
          </w:p>
        </w:tc>
        <w:tc>
          <w:tcPr>
            <w:tcW w:w="1060" w:type="dxa"/>
            <w:shd w:val="clear" w:color="auto" w:fill="auto"/>
            <w:noWrap/>
            <w:vAlign w:val="bottom"/>
          </w:tcPr>
          <w:p w:rsidR="00B5536D" w:rsidRPr="00790479" w:rsidRDefault="00B5536D" w:rsidP="00764386">
            <w:pPr>
              <w:spacing w:line="240" w:lineRule="auto"/>
              <w:contextualSpacing/>
              <w:jc w:val="right"/>
              <w:rPr>
                <w:rFonts w:ascii="Arial" w:hAnsi="Arial"/>
                <w:sz w:val="20"/>
                <w:szCs w:val="20"/>
              </w:rPr>
            </w:pPr>
            <w:r>
              <w:rPr>
                <w:rFonts w:ascii="Arial" w:hAnsi="Arial"/>
                <w:sz w:val="20"/>
                <w:szCs w:val="20"/>
              </w:rPr>
              <w:t>392</w:t>
            </w:r>
          </w:p>
        </w:tc>
      </w:tr>
      <w:tr w:rsidR="00B5536D" w:rsidRPr="00790479" w:rsidTr="001B6FFE">
        <w:trPr>
          <w:trHeight w:val="240"/>
          <w:jc w:val="center"/>
        </w:trPr>
        <w:tc>
          <w:tcPr>
            <w:tcW w:w="1060" w:type="dxa"/>
            <w:shd w:val="clear" w:color="auto" w:fill="auto"/>
            <w:noWrap/>
            <w:vAlign w:val="bottom"/>
          </w:tcPr>
          <w:p w:rsidR="00B5536D" w:rsidRPr="00790479" w:rsidRDefault="00B5536D" w:rsidP="00764386">
            <w:pPr>
              <w:spacing w:line="240" w:lineRule="auto"/>
              <w:contextualSpacing/>
              <w:rPr>
                <w:rFonts w:ascii="Arial" w:hAnsi="Arial"/>
                <w:sz w:val="20"/>
                <w:szCs w:val="20"/>
              </w:rPr>
            </w:pPr>
            <w:r w:rsidRPr="00790479">
              <w:rPr>
                <w:rFonts w:ascii="Arial" w:hAnsi="Arial"/>
                <w:sz w:val="20"/>
                <w:szCs w:val="20"/>
              </w:rPr>
              <w:t>Over 80</w:t>
            </w:r>
          </w:p>
        </w:tc>
        <w:tc>
          <w:tcPr>
            <w:tcW w:w="1060" w:type="dxa"/>
            <w:shd w:val="clear" w:color="auto" w:fill="auto"/>
            <w:noWrap/>
            <w:vAlign w:val="bottom"/>
          </w:tcPr>
          <w:p w:rsidR="00B5536D" w:rsidRPr="00790479" w:rsidRDefault="00B5536D" w:rsidP="00EE571F">
            <w:pPr>
              <w:keepNext/>
              <w:spacing w:line="240" w:lineRule="auto"/>
              <w:contextualSpacing/>
              <w:jc w:val="right"/>
              <w:rPr>
                <w:rFonts w:ascii="Arial" w:hAnsi="Arial"/>
                <w:sz w:val="20"/>
                <w:szCs w:val="20"/>
              </w:rPr>
            </w:pPr>
            <w:r>
              <w:rPr>
                <w:rFonts w:ascii="Arial" w:hAnsi="Arial"/>
                <w:sz w:val="20"/>
                <w:szCs w:val="20"/>
              </w:rPr>
              <w:t>307</w:t>
            </w:r>
          </w:p>
        </w:tc>
      </w:tr>
    </w:tbl>
    <w:p w:rsidR="00764386" w:rsidRDefault="00EE571F" w:rsidP="00EE571F">
      <w:pPr>
        <w:pStyle w:val="Caption"/>
        <w:rPr>
          <w:b w:val="0"/>
          <w:color w:val="4E5612"/>
        </w:rPr>
      </w:pPr>
      <w:r>
        <w:tab/>
      </w:r>
      <w:r>
        <w:tab/>
      </w:r>
      <w:r>
        <w:tab/>
      </w:r>
      <w:r>
        <w:tab/>
      </w:r>
      <w:r>
        <w:tab/>
        <w:t xml:space="preserve">Figure </w:t>
      </w:r>
      <w:fldSimple w:instr=" SEQ Figure \* ARABIC ">
        <w:r w:rsidR="00707511">
          <w:rPr>
            <w:noProof/>
          </w:rPr>
          <w:t>24</w:t>
        </w:r>
      </w:fldSimple>
    </w:p>
    <w:p w:rsidR="00B5536D" w:rsidRPr="00B5536D" w:rsidRDefault="00B5536D" w:rsidP="00764386">
      <w:pPr>
        <w:spacing w:line="240" w:lineRule="auto"/>
        <w:contextualSpacing/>
        <w:rPr>
          <w:b/>
          <w:color w:val="4E5612"/>
        </w:rPr>
      </w:pPr>
      <w:r w:rsidRPr="00B5536D">
        <w:rPr>
          <w:b/>
          <w:color w:val="4E5612"/>
        </w:rPr>
        <w:t>Employment</w:t>
      </w:r>
    </w:p>
    <w:p w:rsidR="00B5536D" w:rsidRDefault="00B5536D" w:rsidP="00764386">
      <w:pPr>
        <w:spacing w:line="240" w:lineRule="auto"/>
        <w:contextualSpacing/>
      </w:pPr>
      <w:r>
        <w:t>Of the population in Rexburg, 19,923 people are 16 years old and over. Of this segment, 12,149 are in the labor force. The number employed in the labor force is 10,970 with 1,169 unemployed. The average commute time for someone living in Rexburg is 12.4 minutes.</w:t>
      </w:r>
      <w:r>
        <w:rPr>
          <w:rStyle w:val="FootnoteReference"/>
        </w:rPr>
        <w:footnoteReference w:id="36"/>
      </w:r>
    </w:p>
    <w:p w:rsidR="00B864AC" w:rsidRDefault="00B864AC" w:rsidP="00764386">
      <w:pPr>
        <w:spacing w:line="240" w:lineRule="auto"/>
        <w:contextualSpacing/>
        <w:rPr>
          <w:b/>
          <w:color w:val="4E5612"/>
          <w:sz w:val="25"/>
        </w:rPr>
      </w:pPr>
    </w:p>
    <w:p w:rsidR="00764386" w:rsidRPr="00764386" w:rsidRDefault="00764386" w:rsidP="00764386">
      <w:pPr>
        <w:spacing w:line="240" w:lineRule="auto"/>
        <w:contextualSpacing/>
        <w:rPr>
          <w:b/>
          <w:color w:val="4E5612"/>
          <w:sz w:val="25"/>
        </w:rPr>
      </w:pPr>
      <w:r w:rsidRPr="00764386">
        <w:rPr>
          <w:b/>
          <w:color w:val="4E5612"/>
          <w:sz w:val="25"/>
        </w:rPr>
        <w:t xml:space="preserve">Income </w:t>
      </w:r>
    </w:p>
    <w:p w:rsidR="00764386" w:rsidRPr="00764386" w:rsidRDefault="00764386" w:rsidP="00764386">
      <w:pPr>
        <w:spacing w:line="240" w:lineRule="auto"/>
        <w:contextualSpacing/>
      </w:pPr>
      <w:r w:rsidRPr="00764386">
        <w:t>The majority of households in Rexburg make less than $50,000 a year. The biggest segment is those making between $10,000 and $24,999 a year.</w:t>
      </w:r>
      <w:r>
        <w:rPr>
          <w:rStyle w:val="FootnoteReference"/>
        </w:rPr>
        <w:footnoteReference w:id="37"/>
      </w:r>
    </w:p>
    <w:p w:rsidR="00B5536D" w:rsidRPr="00B55960" w:rsidRDefault="00B5536D" w:rsidP="00764386">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92"/>
        <w:gridCol w:w="3192"/>
        <w:gridCol w:w="3192"/>
      </w:tblGrid>
      <w:tr w:rsidR="00B5536D" w:rsidTr="001B6FFE">
        <w:tc>
          <w:tcPr>
            <w:tcW w:w="3192" w:type="dxa"/>
          </w:tcPr>
          <w:p w:rsidR="00B5536D" w:rsidRPr="00237D4D" w:rsidRDefault="00B5536D" w:rsidP="00764386">
            <w:pPr>
              <w:contextualSpacing/>
              <w:rPr>
                <w:rFonts w:ascii="Garamond" w:hAnsi="Garamond"/>
                <w:b/>
              </w:rPr>
            </w:pPr>
            <w:r w:rsidRPr="00237D4D">
              <w:rPr>
                <w:rFonts w:ascii="Garamond" w:hAnsi="Garamond"/>
                <w:b/>
              </w:rPr>
              <w:t>Income</w:t>
            </w:r>
          </w:p>
        </w:tc>
        <w:tc>
          <w:tcPr>
            <w:tcW w:w="3192" w:type="dxa"/>
          </w:tcPr>
          <w:p w:rsidR="00B5536D" w:rsidRPr="00237D4D" w:rsidRDefault="00B5536D" w:rsidP="00764386">
            <w:pPr>
              <w:contextualSpacing/>
              <w:jc w:val="center"/>
              <w:rPr>
                <w:rFonts w:ascii="Garamond" w:hAnsi="Garamond"/>
                <w:b/>
              </w:rPr>
            </w:pPr>
            <w:r w:rsidRPr="00237D4D">
              <w:rPr>
                <w:rFonts w:ascii="Garamond" w:hAnsi="Garamond"/>
                <w:b/>
              </w:rPr>
              <w:t>Households</w:t>
            </w:r>
          </w:p>
        </w:tc>
        <w:tc>
          <w:tcPr>
            <w:tcW w:w="3192" w:type="dxa"/>
          </w:tcPr>
          <w:p w:rsidR="00B5536D" w:rsidRPr="00237D4D" w:rsidRDefault="00B5536D" w:rsidP="00764386">
            <w:pPr>
              <w:contextualSpacing/>
              <w:jc w:val="center"/>
              <w:rPr>
                <w:rFonts w:ascii="Garamond" w:hAnsi="Garamond"/>
                <w:b/>
              </w:rPr>
            </w:pPr>
            <w:r>
              <w:rPr>
                <w:rFonts w:ascii="Garamond" w:hAnsi="Garamond"/>
                <w:b/>
              </w:rPr>
              <w:t>Percentage of Households</w:t>
            </w:r>
          </w:p>
        </w:tc>
      </w:tr>
      <w:tr w:rsidR="00B5536D" w:rsidTr="001B6FFE">
        <w:tc>
          <w:tcPr>
            <w:tcW w:w="3192" w:type="dxa"/>
          </w:tcPr>
          <w:p w:rsidR="00B5536D" w:rsidRPr="00F654F4" w:rsidRDefault="00B5536D" w:rsidP="00764386">
            <w:pPr>
              <w:contextualSpacing/>
              <w:rPr>
                <w:rFonts w:ascii="Garamond" w:hAnsi="Garamond"/>
              </w:rPr>
            </w:pPr>
            <w:r w:rsidRPr="00F654F4">
              <w:rPr>
                <w:rFonts w:ascii="Garamond" w:hAnsi="Garamond"/>
              </w:rPr>
              <w:t>$0 to 9,999</w:t>
            </w:r>
          </w:p>
        </w:tc>
        <w:tc>
          <w:tcPr>
            <w:tcW w:w="3192" w:type="dxa"/>
          </w:tcPr>
          <w:p w:rsidR="00B5536D" w:rsidRPr="00F654F4" w:rsidRDefault="00B5536D" w:rsidP="00764386">
            <w:pPr>
              <w:contextualSpacing/>
              <w:jc w:val="center"/>
              <w:rPr>
                <w:rFonts w:ascii="Garamond" w:hAnsi="Garamond"/>
              </w:rPr>
            </w:pPr>
            <w:r>
              <w:rPr>
                <w:rFonts w:ascii="Garamond" w:hAnsi="Garamond"/>
              </w:rPr>
              <w:t>769</w:t>
            </w:r>
          </w:p>
        </w:tc>
        <w:tc>
          <w:tcPr>
            <w:tcW w:w="3192" w:type="dxa"/>
          </w:tcPr>
          <w:p w:rsidR="00B5536D" w:rsidRPr="00F654F4" w:rsidRDefault="00B5536D" w:rsidP="00764386">
            <w:pPr>
              <w:contextualSpacing/>
              <w:jc w:val="center"/>
              <w:rPr>
                <w:rFonts w:ascii="Garamond" w:hAnsi="Garamond"/>
              </w:rPr>
            </w:pPr>
            <w:r>
              <w:rPr>
                <w:rFonts w:ascii="Garamond" w:hAnsi="Garamond"/>
              </w:rPr>
              <w:t>11.4</w:t>
            </w:r>
            <w:r w:rsidRPr="00F654F4">
              <w:rPr>
                <w:rFonts w:ascii="Garamond" w:hAnsi="Garamond"/>
              </w:rPr>
              <w:t>%</w:t>
            </w:r>
          </w:p>
        </w:tc>
      </w:tr>
      <w:tr w:rsidR="00B5536D" w:rsidTr="001B6FFE">
        <w:tc>
          <w:tcPr>
            <w:tcW w:w="3192" w:type="dxa"/>
          </w:tcPr>
          <w:p w:rsidR="00B5536D" w:rsidRPr="00237D4D" w:rsidRDefault="00B5536D" w:rsidP="00764386">
            <w:pPr>
              <w:contextualSpacing/>
              <w:rPr>
                <w:rFonts w:ascii="Garamond" w:hAnsi="Garamond"/>
              </w:rPr>
            </w:pPr>
            <w:r w:rsidRPr="00237D4D">
              <w:rPr>
                <w:rFonts w:ascii="Garamond" w:hAnsi="Garamond"/>
              </w:rPr>
              <w:t>$</w:t>
            </w:r>
            <w:r>
              <w:rPr>
                <w:rFonts w:ascii="Garamond" w:hAnsi="Garamond"/>
              </w:rPr>
              <w:t>10,000 to $</w:t>
            </w:r>
            <w:r w:rsidRPr="00237D4D">
              <w:rPr>
                <w:rFonts w:ascii="Garamond" w:hAnsi="Garamond"/>
              </w:rPr>
              <w:t>24,999</w:t>
            </w:r>
          </w:p>
        </w:tc>
        <w:tc>
          <w:tcPr>
            <w:tcW w:w="3192" w:type="dxa"/>
          </w:tcPr>
          <w:p w:rsidR="00B5536D" w:rsidRPr="00237D4D" w:rsidRDefault="00B5536D" w:rsidP="00764386">
            <w:pPr>
              <w:contextualSpacing/>
              <w:jc w:val="center"/>
              <w:rPr>
                <w:rFonts w:ascii="Garamond" w:hAnsi="Garamond"/>
              </w:rPr>
            </w:pPr>
            <w:r>
              <w:rPr>
                <w:rFonts w:ascii="Garamond" w:hAnsi="Garamond"/>
              </w:rPr>
              <w:t>2,568</w:t>
            </w:r>
          </w:p>
        </w:tc>
        <w:tc>
          <w:tcPr>
            <w:tcW w:w="3192" w:type="dxa"/>
          </w:tcPr>
          <w:p w:rsidR="00B5536D" w:rsidRPr="00237D4D" w:rsidRDefault="00B5536D" w:rsidP="00764386">
            <w:pPr>
              <w:contextualSpacing/>
              <w:jc w:val="center"/>
              <w:rPr>
                <w:rFonts w:ascii="Garamond" w:hAnsi="Garamond"/>
              </w:rPr>
            </w:pPr>
            <w:r>
              <w:rPr>
                <w:rFonts w:ascii="Garamond" w:hAnsi="Garamond"/>
              </w:rPr>
              <w:t>38.1</w:t>
            </w:r>
            <w:r w:rsidRPr="00237D4D">
              <w:rPr>
                <w:rFonts w:ascii="Garamond" w:hAnsi="Garamond"/>
              </w:rPr>
              <w:t>%</w:t>
            </w:r>
          </w:p>
        </w:tc>
      </w:tr>
      <w:tr w:rsidR="00B5536D" w:rsidTr="001B6FFE">
        <w:tc>
          <w:tcPr>
            <w:tcW w:w="3192" w:type="dxa"/>
          </w:tcPr>
          <w:p w:rsidR="00B5536D" w:rsidRPr="00237D4D" w:rsidRDefault="00B5536D" w:rsidP="00764386">
            <w:pPr>
              <w:contextualSpacing/>
              <w:rPr>
                <w:rFonts w:ascii="Garamond" w:hAnsi="Garamond"/>
              </w:rPr>
            </w:pPr>
            <w:r w:rsidRPr="00237D4D">
              <w:rPr>
                <w:rFonts w:ascii="Garamond" w:hAnsi="Garamond"/>
              </w:rPr>
              <w:t>$</w:t>
            </w:r>
            <w:r>
              <w:rPr>
                <w:rFonts w:ascii="Garamond" w:hAnsi="Garamond"/>
              </w:rPr>
              <w:t>25,000 to</w:t>
            </w:r>
            <w:r w:rsidRPr="00237D4D">
              <w:rPr>
                <w:rFonts w:ascii="Garamond" w:hAnsi="Garamond"/>
              </w:rPr>
              <w:t xml:space="preserve"> </w:t>
            </w:r>
            <w:r>
              <w:rPr>
                <w:rFonts w:ascii="Garamond" w:hAnsi="Garamond"/>
              </w:rPr>
              <w:t>$</w:t>
            </w:r>
            <w:r w:rsidRPr="00237D4D">
              <w:rPr>
                <w:rFonts w:ascii="Garamond" w:hAnsi="Garamond"/>
              </w:rPr>
              <w:t>49,999</w:t>
            </w:r>
          </w:p>
        </w:tc>
        <w:tc>
          <w:tcPr>
            <w:tcW w:w="3192" w:type="dxa"/>
          </w:tcPr>
          <w:p w:rsidR="00B5536D" w:rsidRPr="00237D4D" w:rsidRDefault="00B5536D" w:rsidP="00764386">
            <w:pPr>
              <w:contextualSpacing/>
              <w:jc w:val="center"/>
              <w:rPr>
                <w:rFonts w:ascii="Garamond" w:hAnsi="Garamond"/>
              </w:rPr>
            </w:pPr>
            <w:r>
              <w:rPr>
                <w:rFonts w:ascii="Garamond" w:hAnsi="Garamond"/>
              </w:rPr>
              <w:t>1,590</w:t>
            </w:r>
          </w:p>
        </w:tc>
        <w:tc>
          <w:tcPr>
            <w:tcW w:w="3192" w:type="dxa"/>
          </w:tcPr>
          <w:p w:rsidR="00B5536D" w:rsidRPr="00237D4D" w:rsidRDefault="00B5536D" w:rsidP="00764386">
            <w:pPr>
              <w:contextualSpacing/>
              <w:jc w:val="center"/>
              <w:rPr>
                <w:rFonts w:ascii="Garamond" w:hAnsi="Garamond"/>
              </w:rPr>
            </w:pPr>
            <w:r>
              <w:rPr>
                <w:rFonts w:ascii="Garamond" w:hAnsi="Garamond"/>
              </w:rPr>
              <w:t>23.6</w:t>
            </w:r>
            <w:r w:rsidRPr="00237D4D">
              <w:rPr>
                <w:rFonts w:ascii="Garamond" w:hAnsi="Garamond"/>
              </w:rPr>
              <w:t>%</w:t>
            </w:r>
          </w:p>
        </w:tc>
      </w:tr>
      <w:tr w:rsidR="00B5536D" w:rsidTr="001B6FFE">
        <w:tc>
          <w:tcPr>
            <w:tcW w:w="3192" w:type="dxa"/>
          </w:tcPr>
          <w:p w:rsidR="00B5536D" w:rsidRPr="00237D4D" w:rsidRDefault="00B5536D" w:rsidP="00764386">
            <w:pPr>
              <w:contextualSpacing/>
              <w:rPr>
                <w:rFonts w:ascii="Garamond" w:hAnsi="Garamond"/>
              </w:rPr>
            </w:pPr>
            <w:r w:rsidRPr="00237D4D">
              <w:rPr>
                <w:rFonts w:ascii="Garamond" w:hAnsi="Garamond"/>
              </w:rPr>
              <w:t>$</w:t>
            </w:r>
            <w:r>
              <w:rPr>
                <w:rFonts w:ascii="Garamond" w:hAnsi="Garamond"/>
              </w:rPr>
              <w:t>50,000 to</w:t>
            </w:r>
            <w:r w:rsidRPr="00237D4D">
              <w:rPr>
                <w:rFonts w:ascii="Garamond" w:hAnsi="Garamond"/>
              </w:rPr>
              <w:t xml:space="preserve"> </w:t>
            </w:r>
            <w:r>
              <w:rPr>
                <w:rFonts w:ascii="Garamond" w:hAnsi="Garamond"/>
              </w:rPr>
              <w:t>$</w:t>
            </w:r>
            <w:r w:rsidRPr="00237D4D">
              <w:rPr>
                <w:rFonts w:ascii="Garamond" w:hAnsi="Garamond"/>
              </w:rPr>
              <w:t>74,999</w:t>
            </w:r>
          </w:p>
        </w:tc>
        <w:tc>
          <w:tcPr>
            <w:tcW w:w="3192" w:type="dxa"/>
          </w:tcPr>
          <w:p w:rsidR="00B5536D" w:rsidRPr="00237D4D" w:rsidRDefault="00B5536D" w:rsidP="00764386">
            <w:pPr>
              <w:contextualSpacing/>
              <w:jc w:val="center"/>
              <w:rPr>
                <w:rFonts w:ascii="Garamond" w:hAnsi="Garamond"/>
              </w:rPr>
            </w:pPr>
            <w:r>
              <w:rPr>
                <w:rFonts w:ascii="Garamond" w:hAnsi="Garamond"/>
              </w:rPr>
              <w:t>878</w:t>
            </w:r>
          </w:p>
        </w:tc>
        <w:tc>
          <w:tcPr>
            <w:tcW w:w="3192" w:type="dxa"/>
          </w:tcPr>
          <w:p w:rsidR="00B5536D" w:rsidRPr="00237D4D" w:rsidRDefault="00B5536D" w:rsidP="00764386">
            <w:pPr>
              <w:contextualSpacing/>
              <w:jc w:val="center"/>
              <w:rPr>
                <w:rFonts w:ascii="Garamond" w:hAnsi="Garamond"/>
              </w:rPr>
            </w:pPr>
            <w:r>
              <w:rPr>
                <w:rFonts w:ascii="Garamond" w:hAnsi="Garamond"/>
              </w:rPr>
              <w:t>13.0</w:t>
            </w:r>
            <w:r w:rsidRPr="00237D4D">
              <w:rPr>
                <w:rFonts w:ascii="Garamond" w:hAnsi="Garamond"/>
              </w:rPr>
              <w:t>%</w:t>
            </w:r>
          </w:p>
        </w:tc>
      </w:tr>
      <w:tr w:rsidR="00B5536D" w:rsidTr="001B6FFE">
        <w:tc>
          <w:tcPr>
            <w:tcW w:w="3192" w:type="dxa"/>
          </w:tcPr>
          <w:p w:rsidR="00B5536D" w:rsidRPr="00237D4D" w:rsidRDefault="00B5536D" w:rsidP="00764386">
            <w:pPr>
              <w:contextualSpacing/>
              <w:rPr>
                <w:rFonts w:ascii="Garamond" w:hAnsi="Garamond"/>
              </w:rPr>
            </w:pPr>
            <w:r w:rsidRPr="00237D4D">
              <w:rPr>
                <w:rFonts w:ascii="Garamond" w:hAnsi="Garamond"/>
              </w:rPr>
              <w:t>$</w:t>
            </w:r>
            <w:r>
              <w:rPr>
                <w:rFonts w:ascii="Garamond" w:hAnsi="Garamond"/>
              </w:rPr>
              <w:t>75,000 to</w:t>
            </w:r>
            <w:r w:rsidRPr="00237D4D">
              <w:rPr>
                <w:rFonts w:ascii="Garamond" w:hAnsi="Garamond"/>
              </w:rPr>
              <w:t xml:space="preserve"> </w:t>
            </w:r>
            <w:r>
              <w:rPr>
                <w:rFonts w:ascii="Garamond" w:hAnsi="Garamond"/>
              </w:rPr>
              <w:t>$</w:t>
            </w:r>
            <w:r w:rsidRPr="00237D4D">
              <w:rPr>
                <w:rFonts w:ascii="Garamond" w:hAnsi="Garamond"/>
              </w:rPr>
              <w:t>99,999</w:t>
            </w:r>
          </w:p>
        </w:tc>
        <w:tc>
          <w:tcPr>
            <w:tcW w:w="3192" w:type="dxa"/>
          </w:tcPr>
          <w:p w:rsidR="00B5536D" w:rsidRPr="00237D4D" w:rsidRDefault="00B5536D" w:rsidP="00764386">
            <w:pPr>
              <w:contextualSpacing/>
              <w:jc w:val="center"/>
              <w:rPr>
                <w:rFonts w:ascii="Garamond" w:hAnsi="Garamond"/>
              </w:rPr>
            </w:pPr>
            <w:r>
              <w:rPr>
                <w:rFonts w:ascii="Garamond" w:hAnsi="Garamond"/>
              </w:rPr>
              <w:t>438</w:t>
            </w:r>
          </w:p>
        </w:tc>
        <w:tc>
          <w:tcPr>
            <w:tcW w:w="3192" w:type="dxa"/>
          </w:tcPr>
          <w:p w:rsidR="00B5536D" w:rsidRPr="00237D4D" w:rsidRDefault="00B5536D" w:rsidP="00764386">
            <w:pPr>
              <w:contextualSpacing/>
              <w:jc w:val="center"/>
              <w:rPr>
                <w:rFonts w:ascii="Garamond" w:hAnsi="Garamond"/>
              </w:rPr>
            </w:pPr>
            <w:r>
              <w:rPr>
                <w:rFonts w:ascii="Garamond" w:hAnsi="Garamond"/>
              </w:rPr>
              <w:t>6.5%</w:t>
            </w:r>
          </w:p>
        </w:tc>
      </w:tr>
      <w:tr w:rsidR="00B5536D" w:rsidTr="001B6FFE">
        <w:tc>
          <w:tcPr>
            <w:tcW w:w="3192" w:type="dxa"/>
          </w:tcPr>
          <w:p w:rsidR="00B5536D" w:rsidRPr="00237D4D" w:rsidRDefault="00B5536D" w:rsidP="00764386">
            <w:pPr>
              <w:contextualSpacing/>
              <w:rPr>
                <w:rFonts w:ascii="Garamond" w:hAnsi="Garamond"/>
              </w:rPr>
            </w:pPr>
            <w:r w:rsidRPr="00237D4D">
              <w:rPr>
                <w:rFonts w:ascii="Garamond" w:hAnsi="Garamond"/>
              </w:rPr>
              <w:t>$</w:t>
            </w:r>
            <w:r>
              <w:rPr>
                <w:rFonts w:ascii="Garamond" w:hAnsi="Garamond"/>
              </w:rPr>
              <w:t xml:space="preserve">100,000 and </w:t>
            </w:r>
            <w:r w:rsidRPr="00237D4D">
              <w:rPr>
                <w:rFonts w:ascii="Garamond" w:hAnsi="Garamond"/>
              </w:rPr>
              <w:t>Above</w:t>
            </w:r>
          </w:p>
        </w:tc>
        <w:tc>
          <w:tcPr>
            <w:tcW w:w="3192" w:type="dxa"/>
          </w:tcPr>
          <w:p w:rsidR="00B5536D" w:rsidRPr="00237D4D" w:rsidRDefault="00B5536D" w:rsidP="00764386">
            <w:pPr>
              <w:contextualSpacing/>
              <w:jc w:val="center"/>
              <w:rPr>
                <w:rFonts w:ascii="Garamond" w:hAnsi="Garamond"/>
              </w:rPr>
            </w:pPr>
            <w:r>
              <w:rPr>
                <w:rFonts w:ascii="Garamond" w:hAnsi="Garamond"/>
              </w:rPr>
              <w:t>507</w:t>
            </w:r>
          </w:p>
        </w:tc>
        <w:tc>
          <w:tcPr>
            <w:tcW w:w="3192" w:type="dxa"/>
          </w:tcPr>
          <w:p w:rsidR="00B5536D" w:rsidRPr="00237D4D" w:rsidRDefault="00B5536D" w:rsidP="00EE571F">
            <w:pPr>
              <w:keepNext/>
              <w:contextualSpacing/>
              <w:jc w:val="center"/>
              <w:rPr>
                <w:rFonts w:ascii="Garamond" w:hAnsi="Garamond"/>
              </w:rPr>
            </w:pPr>
            <w:r>
              <w:rPr>
                <w:rFonts w:ascii="Garamond" w:hAnsi="Garamond"/>
              </w:rPr>
              <w:t>7.5</w:t>
            </w:r>
            <w:r w:rsidRPr="00237D4D">
              <w:rPr>
                <w:rFonts w:ascii="Garamond" w:hAnsi="Garamond"/>
              </w:rPr>
              <w:t>%</w:t>
            </w:r>
          </w:p>
        </w:tc>
      </w:tr>
    </w:tbl>
    <w:p w:rsidR="00764386" w:rsidRDefault="00EE571F" w:rsidP="00EE571F">
      <w:pPr>
        <w:pStyle w:val="Caption"/>
      </w:pPr>
      <w:r>
        <w:t xml:space="preserve">Figure </w:t>
      </w:r>
      <w:fldSimple w:instr=" SEQ Figure \* ARABIC ">
        <w:r w:rsidR="00707511">
          <w:rPr>
            <w:noProof/>
          </w:rPr>
          <w:t>25</w:t>
        </w:r>
      </w:fldSimple>
    </w:p>
    <w:p w:rsidR="00EE571F" w:rsidRDefault="00B5536D" w:rsidP="00EE571F">
      <w:pPr>
        <w:keepNext/>
        <w:spacing w:line="240" w:lineRule="auto"/>
        <w:contextualSpacing/>
      </w:pPr>
      <w:r w:rsidRPr="00573F1B">
        <w:rPr>
          <w:noProof/>
        </w:rPr>
        <w:lastRenderedPageBreak/>
        <w:drawing>
          <wp:inline distT="0" distB="0" distL="0" distR="0">
            <wp:extent cx="5689600" cy="2099733"/>
            <wp:effectExtent l="25400" t="25400" r="0" b="8467"/>
            <wp:docPr id="7" name="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5536D" w:rsidRDefault="00EE571F" w:rsidP="00EE571F">
      <w:pPr>
        <w:pStyle w:val="Caption"/>
      </w:pPr>
      <w:r>
        <w:t xml:space="preserve">Figure </w:t>
      </w:r>
      <w:fldSimple w:instr=" SEQ Figure \* ARABIC ">
        <w:r w:rsidR="00707511">
          <w:rPr>
            <w:noProof/>
          </w:rPr>
          <w:t>26</w:t>
        </w:r>
      </w:fldSimple>
    </w:p>
    <w:p w:rsidR="00B5536D" w:rsidRPr="00B864AC" w:rsidRDefault="00B5536D" w:rsidP="00764386">
      <w:pPr>
        <w:spacing w:line="240" w:lineRule="auto"/>
        <w:contextualSpacing/>
        <w:rPr>
          <w:b/>
          <w:color w:val="4E5612"/>
          <w:sz w:val="25"/>
        </w:rPr>
      </w:pPr>
      <w:r w:rsidRPr="00B864AC">
        <w:rPr>
          <w:b/>
          <w:color w:val="4E5612"/>
          <w:sz w:val="25"/>
        </w:rPr>
        <w:t>Home Value</w:t>
      </w:r>
    </w:p>
    <w:p w:rsidR="00B5536D" w:rsidRDefault="00B5536D" w:rsidP="00764386">
      <w:pPr>
        <w:spacing w:line="240" w:lineRule="auto"/>
        <w:contextualSpacing/>
      </w:pPr>
      <w:r>
        <w:t>The home values in Rexburg are mainly (71.9%) between $100,000 and $299,999. The median home value is $171,100.</w:t>
      </w:r>
      <w:r w:rsidRPr="00595135">
        <w:rPr>
          <w:rStyle w:val="FootnoteReference"/>
        </w:rPr>
        <w:t xml:space="preserve"> </w:t>
      </w:r>
      <w:r>
        <w:rPr>
          <w:rStyle w:val="FootnoteReference"/>
        </w:rPr>
        <w:footnoteReference w:id="38"/>
      </w:r>
    </w:p>
    <w:p w:rsidR="00355BC6" w:rsidRPr="00595135" w:rsidRDefault="00355BC6" w:rsidP="00764386">
      <w:pPr>
        <w:spacing w:line="240" w:lineRule="auto"/>
        <w:contextualSpacing/>
      </w:pPr>
    </w:p>
    <w:tbl>
      <w:tblPr>
        <w:tblStyle w:val="TableGrid"/>
        <w:tblpPr w:leftFromText="180" w:rightFromText="180" w:vertAnchor="text" w:tblpY="1"/>
        <w:tblOverlap w:val="neve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14"/>
        <w:gridCol w:w="3206"/>
        <w:gridCol w:w="2886"/>
      </w:tblGrid>
      <w:tr w:rsidR="00B5536D" w:rsidTr="001B6FFE">
        <w:trPr>
          <w:trHeight w:val="275"/>
        </w:trPr>
        <w:tc>
          <w:tcPr>
            <w:tcW w:w="3014" w:type="dxa"/>
          </w:tcPr>
          <w:p w:rsidR="00B5536D" w:rsidRPr="00C00752" w:rsidRDefault="00BC10AC" w:rsidP="00764386">
            <w:pPr>
              <w:contextualSpacing/>
              <w:rPr>
                <w:rFonts w:ascii="Garamond" w:hAnsi="Garamond"/>
                <w:b/>
              </w:rPr>
            </w:pPr>
            <w:r>
              <w:rPr>
                <w:rFonts w:ascii="Garamond" w:hAnsi="Garamond"/>
                <w:b/>
              </w:rPr>
              <w:t>Valu</w:t>
            </w:r>
            <w:r w:rsidR="004A48B0">
              <w:rPr>
                <w:rFonts w:ascii="Garamond" w:hAnsi="Garamond"/>
                <w:b/>
              </w:rPr>
              <w:t>e</w:t>
            </w:r>
          </w:p>
        </w:tc>
        <w:tc>
          <w:tcPr>
            <w:tcW w:w="3206" w:type="dxa"/>
          </w:tcPr>
          <w:p w:rsidR="00B5536D" w:rsidRPr="00C00752" w:rsidRDefault="00B5536D" w:rsidP="00764386">
            <w:pPr>
              <w:contextualSpacing/>
              <w:jc w:val="center"/>
              <w:rPr>
                <w:rFonts w:ascii="Garamond" w:hAnsi="Garamond"/>
                <w:b/>
              </w:rPr>
            </w:pPr>
            <w:r w:rsidRPr="00C00752">
              <w:rPr>
                <w:rFonts w:ascii="Garamond" w:hAnsi="Garamond"/>
                <w:b/>
              </w:rPr>
              <w:t>Owner Occupied Units</w:t>
            </w:r>
          </w:p>
        </w:tc>
        <w:tc>
          <w:tcPr>
            <w:tcW w:w="2886" w:type="dxa"/>
          </w:tcPr>
          <w:p w:rsidR="00B5536D" w:rsidRPr="00C00752" w:rsidRDefault="00B5536D" w:rsidP="00764386">
            <w:pPr>
              <w:contextualSpacing/>
              <w:jc w:val="center"/>
              <w:rPr>
                <w:rFonts w:ascii="Garamond" w:hAnsi="Garamond"/>
                <w:b/>
              </w:rPr>
            </w:pPr>
            <w:r w:rsidRPr="00C00752">
              <w:rPr>
                <w:rFonts w:ascii="Garamond" w:hAnsi="Garamond"/>
                <w:b/>
              </w:rPr>
              <w:t>Percentage</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0 to $50,000</w:t>
            </w:r>
          </w:p>
        </w:tc>
        <w:tc>
          <w:tcPr>
            <w:tcW w:w="3206" w:type="dxa"/>
          </w:tcPr>
          <w:p w:rsidR="00B5536D" w:rsidRDefault="00B5536D" w:rsidP="00764386">
            <w:pPr>
              <w:contextualSpacing/>
              <w:jc w:val="center"/>
              <w:rPr>
                <w:rFonts w:ascii="Garamond" w:hAnsi="Garamond"/>
              </w:rPr>
            </w:pPr>
            <w:r>
              <w:rPr>
                <w:rFonts w:ascii="Garamond" w:hAnsi="Garamond"/>
              </w:rPr>
              <w:t>220</w:t>
            </w:r>
          </w:p>
        </w:tc>
        <w:tc>
          <w:tcPr>
            <w:tcW w:w="2886" w:type="dxa"/>
          </w:tcPr>
          <w:p w:rsidR="00B5536D" w:rsidRDefault="00B5536D" w:rsidP="00764386">
            <w:pPr>
              <w:contextualSpacing/>
              <w:jc w:val="center"/>
              <w:rPr>
                <w:rFonts w:ascii="Garamond" w:hAnsi="Garamond"/>
              </w:rPr>
            </w:pPr>
            <w:r>
              <w:rPr>
                <w:rFonts w:ascii="Garamond" w:hAnsi="Garamond"/>
              </w:rPr>
              <w:t>9.7%</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$50,000 to $99,999</w:t>
            </w:r>
          </w:p>
        </w:tc>
        <w:tc>
          <w:tcPr>
            <w:tcW w:w="3206" w:type="dxa"/>
          </w:tcPr>
          <w:p w:rsidR="00B5536D" w:rsidRDefault="00B5536D" w:rsidP="00764386">
            <w:pPr>
              <w:contextualSpacing/>
              <w:jc w:val="center"/>
              <w:rPr>
                <w:rFonts w:ascii="Garamond" w:hAnsi="Garamond"/>
              </w:rPr>
            </w:pPr>
            <w:r>
              <w:rPr>
                <w:rFonts w:ascii="Garamond" w:hAnsi="Garamond"/>
              </w:rPr>
              <w:t>156</w:t>
            </w:r>
          </w:p>
        </w:tc>
        <w:tc>
          <w:tcPr>
            <w:tcW w:w="2886" w:type="dxa"/>
          </w:tcPr>
          <w:p w:rsidR="00B5536D" w:rsidRDefault="00B5536D" w:rsidP="00764386">
            <w:pPr>
              <w:contextualSpacing/>
              <w:jc w:val="center"/>
              <w:rPr>
                <w:rFonts w:ascii="Garamond" w:hAnsi="Garamond"/>
              </w:rPr>
            </w:pPr>
            <w:r>
              <w:rPr>
                <w:rFonts w:ascii="Garamond" w:hAnsi="Garamond"/>
              </w:rPr>
              <w:t>6.9%</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$100,000 to $149,999</w:t>
            </w:r>
          </w:p>
        </w:tc>
        <w:tc>
          <w:tcPr>
            <w:tcW w:w="3206" w:type="dxa"/>
          </w:tcPr>
          <w:p w:rsidR="00B5536D" w:rsidRDefault="00B5536D" w:rsidP="00764386">
            <w:pPr>
              <w:contextualSpacing/>
              <w:jc w:val="center"/>
              <w:rPr>
                <w:rFonts w:ascii="Garamond" w:hAnsi="Garamond"/>
              </w:rPr>
            </w:pPr>
            <w:r>
              <w:rPr>
                <w:rFonts w:ascii="Garamond" w:hAnsi="Garamond"/>
              </w:rPr>
              <w:t>473</w:t>
            </w:r>
          </w:p>
        </w:tc>
        <w:tc>
          <w:tcPr>
            <w:tcW w:w="2886" w:type="dxa"/>
          </w:tcPr>
          <w:p w:rsidR="00B5536D" w:rsidRDefault="00B5536D" w:rsidP="00764386">
            <w:pPr>
              <w:contextualSpacing/>
              <w:jc w:val="center"/>
              <w:rPr>
                <w:rFonts w:ascii="Garamond" w:hAnsi="Garamond"/>
              </w:rPr>
            </w:pPr>
            <w:r>
              <w:rPr>
                <w:rFonts w:ascii="Garamond" w:hAnsi="Garamond"/>
              </w:rPr>
              <w:t>20.8%</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$150,000 to $199,999</w:t>
            </w:r>
          </w:p>
        </w:tc>
        <w:tc>
          <w:tcPr>
            <w:tcW w:w="3206" w:type="dxa"/>
          </w:tcPr>
          <w:p w:rsidR="00B5536D" w:rsidRDefault="00B5536D" w:rsidP="00764386">
            <w:pPr>
              <w:contextualSpacing/>
              <w:jc w:val="center"/>
              <w:rPr>
                <w:rFonts w:ascii="Garamond" w:hAnsi="Garamond"/>
              </w:rPr>
            </w:pPr>
            <w:r>
              <w:rPr>
                <w:rFonts w:ascii="Garamond" w:hAnsi="Garamond"/>
              </w:rPr>
              <w:t>585</w:t>
            </w:r>
          </w:p>
        </w:tc>
        <w:tc>
          <w:tcPr>
            <w:tcW w:w="2886" w:type="dxa"/>
          </w:tcPr>
          <w:p w:rsidR="00B5536D" w:rsidRDefault="00B5536D" w:rsidP="00764386">
            <w:pPr>
              <w:contextualSpacing/>
              <w:jc w:val="center"/>
              <w:rPr>
                <w:rFonts w:ascii="Garamond" w:hAnsi="Garamond"/>
              </w:rPr>
            </w:pPr>
            <w:r>
              <w:rPr>
                <w:rFonts w:ascii="Garamond" w:hAnsi="Garamond"/>
              </w:rPr>
              <w:t>25.7%</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$200,000 to $299,999</w:t>
            </w:r>
          </w:p>
        </w:tc>
        <w:tc>
          <w:tcPr>
            <w:tcW w:w="3206" w:type="dxa"/>
          </w:tcPr>
          <w:p w:rsidR="00B5536D" w:rsidRDefault="00B5536D" w:rsidP="00764386">
            <w:pPr>
              <w:contextualSpacing/>
              <w:jc w:val="center"/>
              <w:rPr>
                <w:rFonts w:ascii="Garamond" w:hAnsi="Garamond"/>
              </w:rPr>
            </w:pPr>
            <w:r>
              <w:rPr>
                <w:rFonts w:ascii="Garamond" w:hAnsi="Garamond"/>
              </w:rPr>
              <w:t>577</w:t>
            </w:r>
          </w:p>
        </w:tc>
        <w:tc>
          <w:tcPr>
            <w:tcW w:w="2886" w:type="dxa"/>
          </w:tcPr>
          <w:p w:rsidR="00B5536D" w:rsidRDefault="00B5536D" w:rsidP="00764386">
            <w:pPr>
              <w:contextualSpacing/>
              <w:jc w:val="center"/>
              <w:rPr>
                <w:rFonts w:ascii="Garamond" w:hAnsi="Garamond"/>
              </w:rPr>
            </w:pPr>
            <w:r>
              <w:rPr>
                <w:rFonts w:ascii="Garamond" w:hAnsi="Garamond"/>
              </w:rPr>
              <w:t>25.4%</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$300,000 to $499,999</w:t>
            </w:r>
          </w:p>
        </w:tc>
        <w:tc>
          <w:tcPr>
            <w:tcW w:w="3206" w:type="dxa"/>
          </w:tcPr>
          <w:p w:rsidR="00B5536D" w:rsidRDefault="00B5536D" w:rsidP="00764386">
            <w:pPr>
              <w:contextualSpacing/>
              <w:jc w:val="center"/>
              <w:rPr>
                <w:rFonts w:ascii="Garamond" w:hAnsi="Garamond"/>
              </w:rPr>
            </w:pPr>
            <w:r>
              <w:rPr>
                <w:rFonts w:ascii="Garamond" w:hAnsi="Garamond"/>
              </w:rPr>
              <w:t>204</w:t>
            </w:r>
          </w:p>
        </w:tc>
        <w:tc>
          <w:tcPr>
            <w:tcW w:w="2886" w:type="dxa"/>
          </w:tcPr>
          <w:p w:rsidR="00B5536D" w:rsidRDefault="00B5536D" w:rsidP="00764386">
            <w:pPr>
              <w:contextualSpacing/>
              <w:jc w:val="center"/>
              <w:rPr>
                <w:rFonts w:ascii="Garamond" w:hAnsi="Garamond"/>
              </w:rPr>
            </w:pPr>
            <w:r>
              <w:rPr>
                <w:rFonts w:ascii="Garamond" w:hAnsi="Garamond"/>
              </w:rPr>
              <w:t>9.0%</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$500,000 to $999,999</w:t>
            </w:r>
          </w:p>
        </w:tc>
        <w:tc>
          <w:tcPr>
            <w:tcW w:w="3206" w:type="dxa"/>
          </w:tcPr>
          <w:p w:rsidR="00B5536D" w:rsidRDefault="00B5536D" w:rsidP="00764386">
            <w:pPr>
              <w:contextualSpacing/>
              <w:jc w:val="center"/>
              <w:rPr>
                <w:rFonts w:ascii="Garamond" w:hAnsi="Garamond"/>
              </w:rPr>
            </w:pPr>
            <w:r>
              <w:rPr>
                <w:rFonts w:ascii="Garamond" w:hAnsi="Garamond"/>
              </w:rPr>
              <w:t>46</w:t>
            </w:r>
          </w:p>
        </w:tc>
        <w:tc>
          <w:tcPr>
            <w:tcW w:w="2886" w:type="dxa"/>
          </w:tcPr>
          <w:p w:rsidR="00B5536D" w:rsidRDefault="00B5536D" w:rsidP="00764386">
            <w:pPr>
              <w:contextualSpacing/>
              <w:jc w:val="center"/>
              <w:rPr>
                <w:rFonts w:ascii="Garamond" w:hAnsi="Garamond"/>
              </w:rPr>
            </w:pPr>
            <w:r>
              <w:rPr>
                <w:rFonts w:ascii="Garamond" w:hAnsi="Garamond"/>
              </w:rPr>
              <w:t>2.0%</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$1,000,000 or more</w:t>
            </w:r>
          </w:p>
        </w:tc>
        <w:tc>
          <w:tcPr>
            <w:tcW w:w="3206" w:type="dxa"/>
          </w:tcPr>
          <w:p w:rsidR="00B5536D" w:rsidRDefault="00B5536D" w:rsidP="00764386">
            <w:pPr>
              <w:contextualSpacing/>
              <w:jc w:val="center"/>
              <w:rPr>
                <w:rFonts w:ascii="Garamond" w:hAnsi="Garamond"/>
              </w:rPr>
            </w:pPr>
            <w:r>
              <w:rPr>
                <w:rFonts w:ascii="Garamond" w:hAnsi="Garamond"/>
              </w:rPr>
              <w:t>12</w:t>
            </w:r>
          </w:p>
        </w:tc>
        <w:tc>
          <w:tcPr>
            <w:tcW w:w="2886" w:type="dxa"/>
          </w:tcPr>
          <w:p w:rsidR="00B5536D" w:rsidRDefault="00B5536D" w:rsidP="00764386">
            <w:pPr>
              <w:contextualSpacing/>
              <w:jc w:val="center"/>
              <w:rPr>
                <w:rFonts w:ascii="Garamond" w:hAnsi="Garamond"/>
              </w:rPr>
            </w:pPr>
            <w:r>
              <w:rPr>
                <w:rFonts w:ascii="Garamond" w:hAnsi="Garamond"/>
              </w:rPr>
              <w:t>0.5%</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Total</w:t>
            </w:r>
          </w:p>
        </w:tc>
        <w:tc>
          <w:tcPr>
            <w:tcW w:w="3206" w:type="dxa"/>
          </w:tcPr>
          <w:p w:rsidR="00B5536D" w:rsidRDefault="00B5536D" w:rsidP="00764386">
            <w:pPr>
              <w:contextualSpacing/>
              <w:jc w:val="center"/>
              <w:rPr>
                <w:rFonts w:ascii="Garamond" w:hAnsi="Garamond"/>
              </w:rPr>
            </w:pPr>
            <w:r>
              <w:rPr>
                <w:rFonts w:ascii="Garamond" w:hAnsi="Garamond"/>
              </w:rPr>
              <w:t>2,273</w:t>
            </w:r>
          </w:p>
        </w:tc>
        <w:tc>
          <w:tcPr>
            <w:tcW w:w="2886" w:type="dxa"/>
          </w:tcPr>
          <w:p w:rsidR="00B5536D" w:rsidRDefault="00B5536D" w:rsidP="00EE571F">
            <w:pPr>
              <w:keepNext/>
              <w:contextualSpacing/>
              <w:jc w:val="center"/>
              <w:rPr>
                <w:rFonts w:ascii="Garamond" w:hAnsi="Garamond"/>
              </w:rPr>
            </w:pPr>
            <w:r>
              <w:rPr>
                <w:rFonts w:ascii="Garamond" w:hAnsi="Garamond"/>
              </w:rPr>
              <w:t>100%</w:t>
            </w:r>
          </w:p>
        </w:tc>
      </w:tr>
    </w:tbl>
    <w:p w:rsidR="00EE571F" w:rsidRDefault="00EE571F" w:rsidP="00EE571F">
      <w:pPr>
        <w:pStyle w:val="Caption"/>
        <w:framePr w:hSpace="180" w:wrap="around" w:vAnchor="text" w:hAnchor="text" w:y="1"/>
        <w:suppressOverlap/>
      </w:pPr>
      <w:r>
        <w:t xml:space="preserve">Figure </w:t>
      </w:r>
      <w:fldSimple w:instr=" SEQ Figure \* ARABIC ">
        <w:r w:rsidR="00707511">
          <w:rPr>
            <w:noProof/>
          </w:rPr>
          <w:t>27</w:t>
        </w:r>
      </w:fldSimple>
    </w:p>
    <w:p w:rsidR="00147D6D" w:rsidRDefault="00147D6D" w:rsidP="00764386">
      <w:pPr>
        <w:spacing w:line="240" w:lineRule="auto"/>
        <w:contextualSpacing/>
      </w:pPr>
    </w:p>
    <w:p w:rsidR="00B5536D" w:rsidRDefault="00B5536D" w:rsidP="00764386">
      <w:pPr>
        <w:spacing w:line="240" w:lineRule="auto"/>
        <w:contextualSpacing/>
      </w:pPr>
    </w:p>
    <w:p w:rsidR="00EE571F" w:rsidRDefault="00147D6D" w:rsidP="00EE571F">
      <w:pPr>
        <w:keepNext/>
        <w:spacing w:line="240" w:lineRule="auto"/>
        <w:contextualSpacing/>
      </w:pPr>
      <w:r w:rsidRPr="00BE569A">
        <w:rPr>
          <w:noProof/>
        </w:rPr>
        <w:lastRenderedPageBreak/>
        <w:drawing>
          <wp:inline distT="0" distB="0" distL="0" distR="0">
            <wp:extent cx="5689600" cy="2637367"/>
            <wp:effectExtent l="25400" t="25400" r="0" b="4233"/>
            <wp:docPr id="2" name="C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5536D" w:rsidRDefault="00EE571F" w:rsidP="00EE571F">
      <w:pPr>
        <w:pStyle w:val="Caption"/>
      </w:pPr>
      <w:r>
        <w:t xml:space="preserve">Figure </w:t>
      </w:r>
      <w:fldSimple w:instr=" SEQ Figure \* ARABIC ">
        <w:r w:rsidR="00707511">
          <w:rPr>
            <w:noProof/>
          </w:rPr>
          <w:t>28</w:t>
        </w:r>
      </w:fldSimple>
    </w:p>
    <w:p w:rsidR="00B5536D" w:rsidRPr="00BC10AC" w:rsidRDefault="00B5536D" w:rsidP="00764386">
      <w:pPr>
        <w:spacing w:line="240" w:lineRule="auto"/>
        <w:contextualSpacing/>
        <w:rPr>
          <w:color w:val="66A6B8" w:themeColor="accent3" w:themeShade="BF"/>
        </w:rPr>
      </w:pPr>
      <w:r w:rsidRPr="00B864AC">
        <w:rPr>
          <w:b/>
          <w:color w:val="4E5612"/>
          <w:sz w:val="25"/>
        </w:rPr>
        <w:t>Housing Costs</w:t>
      </w:r>
    </w:p>
    <w:p w:rsidR="00B5536D" w:rsidRDefault="00B5536D" w:rsidP="00764386">
      <w:pPr>
        <w:spacing w:line="240" w:lineRule="auto"/>
        <w:contextualSpacing/>
      </w:pPr>
      <w:r>
        <w:t>In general, it is recommended that households shouldn’t spend more than 30% of their income on housing costs.</w:t>
      </w:r>
      <w:r>
        <w:rPr>
          <w:rStyle w:val="FootnoteReference"/>
        </w:rPr>
        <w:footnoteReference w:id="39"/>
      </w:r>
      <w:r>
        <w:t xml:space="preserve"> Following are the monthly housing costs in Rexburg broken down by houses with a mortgage, houses without a mortgage, and rental costs. </w:t>
      </w:r>
    </w:p>
    <w:p w:rsidR="00B864AC" w:rsidRDefault="00B864AC" w:rsidP="00764386">
      <w:pPr>
        <w:spacing w:line="240" w:lineRule="auto"/>
        <w:contextualSpacing/>
        <w:rPr>
          <w:b/>
          <w:color w:val="4E5612"/>
          <w:sz w:val="25"/>
        </w:rPr>
      </w:pPr>
    </w:p>
    <w:p w:rsidR="00B864AC" w:rsidRDefault="00B5536D" w:rsidP="00764386">
      <w:pPr>
        <w:spacing w:line="240" w:lineRule="auto"/>
        <w:contextualSpacing/>
        <w:rPr>
          <w:b/>
          <w:color w:val="4E5612"/>
          <w:sz w:val="25"/>
        </w:rPr>
      </w:pPr>
      <w:r w:rsidRPr="00B864AC">
        <w:rPr>
          <w:b/>
          <w:color w:val="4E5612"/>
          <w:sz w:val="25"/>
        </w:rPr>
        <w:t xml:space="preserve">Housing Cost </w:t>
      </w:r>
      <w:proofErr w:type="gramStart"/>
      <w:r w:rsidRPr="00B864AC">
        <w:rPr>
          <w:b/>
          <w:color w:val="4E5612"/>
          <w:sz w:val="25"/>
        </w:rPr>
        <w:t>With</w:t>
      </w:r>
      <w:proofErr w:type="gramEnd"/>
      <w:r w:rsidRPr="00B864AC">
        <w:rPr>
          <w:b/>
          <w:color w:val="4E5612"/>
          <w:sz w:val="25"/>
        </w:rPr>
        <w:t xml:space="preserve"> a Mortgage</w:t>
      </w:r>
    </w:p>
    <w:p w:rsidR="00B5536D" w:rsidRDefault="00B864AC" w:rsidP="00764386">
      <w:pPr>
        <w:spacing w:line="240" w:lineRule="auto"/>
        <w:contextualSpacing/>
      </w:pPr>
      <w:r>
        <w:t>Most of the houses with a mortgage in Rexburg have a monthly cost of between $1,000 and $1,499. The median monthly cost for houses with a mortgage was $1,200.</w:t>
      </w:r>
    </w:p>
    <w:p w:rsidR="00355BC6" w:rsidRPr="00B864AC" w:rsidRDefault="00355BC6" w:rsidP="00764386">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618"/>
        <w:gridCol w:w="2766"/>
        <w:gridCol w:w="3192"/>
      </w:tblGrid>
      <w:tr w:rsidR="00B5536D" w:rsidTr="001B6FFE">
        <w:tc>
          <w:tcPr>
            <w:tcW w:w="3618" w:type="dxa"/>
          </w:tcPr>
          <w:p w:rsidR="00B5536D" w:rsidRDefault="00B5536D" w:rsidP="00764386">
            <w:pPr>
              <w:contextualSpacing/>
              <w:rPr>
                <w:rFonts w:ascii="Garamond" w:hAnsi="Garamond"/>
              </w:rPr>
            </w:pPr>
            <w:r>
              <w:rPr>
                <w:rFonts w:ascii="Garamond" w:hAnsi="Garamond"/>
              </w:rPr>
              <w:t>Monthly Mortgage Cost</w:t>
            </w:r>
          </w:p>
        </w:tc>
        <w:tc>
          <w:tcPr>
            <w:tcW w:w="2766" w:type="dxa"/>
          </w:tcPr>
          <w:p w:rsidR="00B5536D" w:rsidRDefault="00B5536D" w:rsidP="00764386">
            <w:pPr>
              <w:contextualSpacing/>
              <w:jc w:val="center"/>
              <w:rPr>
                <w:rFonts w:ascii="Garamond" w:hAnsi="Garamond"/>
              </w:rPr>
            </w:pPr>
            <w:r>
              <w:rPr>
                <w:rFonts w:ascii="Garamond" w:hAnsi="Garamond"/>
              </w:rPr>
              <w:t>Number of Units</w:t>
            </w:r>
          </w:p>
        </w:tc>
        <w:tc>
          <w:tcPr>
            <w:tcW w:w="3192" w:type="dxa"/>
          </w:tcPr>
          <w:p w:rsidR="00B5536D" w:rsidRDefault="00B5536D" w:rsidP="00764386">
            <w:pPr>
              <w:contextualSpacing/>
              <w:jc w:val="center"/>
              <w:rPr>
                <w:rFonts w:ascii="Garamond" w:hAnsi="Garamond"/>
              </w:rPr>
            </w:pPr>
            <w:r>
              <w:rPr>
                <w:rFonts w:ascii="Garamond" w:hAnsi="Garamond"/>
              </w:rPr>
              <w:t>Percent of Total Units</w:t>
            </w:r>
          </w:p>
        </w:tc>
      </w:tr>
      <w:tr w:rsidR="00B5536D" w:rsidTr="001B6FFE">
        <w:tc>
          <w:tcPr>
            <w:tcW w:w="3618" w:type="dxa"/>
          </w:tcPr>
          <w:p w:rsidR="00B5536D" w:rsidRDefault="00B5536D" w:rsidP="00764386">
            <w:pPr>
              <w:contextualSpacing/>
              <w:rPr>
                <w:rFonts w:ascii="Garamond" w:hAnsi="Garamond"/>
              </w:rPr>
            </w:pPr>
            <w:r>
              <w:rPr>
                <w:rFonts w:ascii="Garamond" w:hAnsi="Garamond"/>
              </w:rPr>
              <w:t>Less than $300</w:t>
            </w:r>
          </w:p>
        </w:tc>
        <w:tc>
          <w:tcPr>
            <w:tcW w:w="2766" w:type="dxa"/>
          </w:tcPr>
          <w:p w:rsidR="00B5536D" w:rsidRDefault="00B5536D" w:rsidP="00764386">
            <w:pPr>
              <w:contextualSpacing/>
              <w:jc w:val="center"/>
              <w:rPr>
                <w:rFonts w:ascii="Garamond" w:hAnsi="Garamond"/>
              </w:rPr>
            </w:pPr>
            <w:r>
              <w:rPr>
                <w:rFonts w:ascii="Garamond" w:hAnsi="Garamond"/>
              </w:rPr>
              <w:t>0</w:t>
            </w:r>
          </w:p>
        </w:tc>
        <w:tc>
          <w:tcPr>
            <w:tcW w:w="3192" w:type="dxa"/>
          </w:tcPr>
          <w:p w:rsidR="00B5536D" w:rsidRDefault="00B5536D" w:rsidP="00764386">
            <w:pPr>
              <w:contextualSpacing/>
              <w:jc w:val="center"/>
              <w:rPr>
                <w:rFonts w:ascii="Garamond" w:hAnsi="Garamond"/>
              </w:rPr>
            </w:pPr>
            <w:r>
              <w:rPr>
                <w:rFonts w:ascii="Garamond" w:hAnsi="Garamond"/>
              </w:rPr>
              <w:t>0.0%</w:t>
            </w:r>
          </w:p>
        </w:tc>
      </w:tr>
      <w:tr w:rsidR="00B5536D" w:rsidTr="001B6FFE">
        <w:tc>
          <w:tcPr>
            <w:tcW w:w="3618" w:type="dxa"/>
          </w:tcPr>
          <w:p w:rsidR="00B5536D" w:rsidRDefault="00B5536D" w:rsidP="00764386">
            <w:pPr>
              <w:contextualSpacing/>
              <w:rPr>
                <w:rFonts w:ascii="Garamond" w:hAnsi="Garamond"/>
              </w:rPr>
            </w:pPr>
            <w:r>
              <w:rPr>
                <w:rFonts w:ascii="Garamond" w:hAnsi="Garamond"/>
              </w:rPr>
              <w:t>$300 to $499</w:t>
            </w:r>
          </w:p>
        </w:tc>
        <w:tc>
          <w:tcPr>
            <w:tcW w:w="2766" w:type="dxa"/>
          </w:tcPr>
          <w:p w:rsidR="00B5536D" w:rsidRDefault="00B5536D" w:rsidP="00764386">
            <w:pPr>
              <w:contextualSpacing/>
              <w:jc w:val="center"/>
              <w:rPr>
                <w:rFonts w:ascii="Garamond" w:hAnsi="Garamond"/>
              </w:rPr>
            </w:pPr>
            <w:r>
              <w:rPr>
                <w:rFonts w:ascii="Garamond" w:hAnsi="Garamond"/>
              </w:rPr>
              <w:t>36</w:t>
            </w:r>
          </w:p>
        </w:tc>
        <w:tc>
          <w:tcPr>
            <w:tcW w:w="3192" w:type="dxa"/>
          </w:tcPr>
          <w:p w:rsidR="00B5536D" w:rsidRDefault="00B5536D" w:rsidP="00764386">
            <w:pPr>
              <w:contextualSpacing/>
              <w:jc w:val="center"/>
              <w:rPr>
                <w:rFonts w:ascii="Garamond" w:hAnsi="Garamond"/>
              </w:rPr>
            </w:pPr>
            <w:r>
              <w:rPr>
                <w:rFonts w:ascii="Garamond" w:hAnsi="Garamond"/>
              </w:rPr>
              <w:t>2.2%</w:t>
            </w:r>
          </w:p>
        </w:tc>
      </w:tr>
      <w:tr w:rsidR="00B5536D" w:rsidTr="001B6FFE">
        <w:tc>
          <w:tcPr>
            <w:tcW w:w="3618" w:type="dxa"/>
          </w:tcPr>
          <w:p w:rsidR="00B5536D" w:rsidRDefault="00B5536D" w:rsidP="00764386">
            <w:pPr>
              <w:contextualSpacing/>
              <w:rPr>
                <w:rFonts w:ascii="Garamond" w:hAnsi="Garamond"/>
              </w:rPr>
            </w:pPr>
            <w:r>
              <w:rPr>
                <w:rFonts w:ascii="Garamond" w:hAnsi="Garamond"/>
              </w:rPr>
              <w:t>$500 to $699</w:t>
            </w:r>
          </w:p>
        </w:tc>
        <w:tc>
          <w:tcPr>
            <w:tcW w:w="2766" w:type="dxa"/>
          </w:tcPr>
          <w:p w:rsidR="00B5536D" w:rsidRDefault="00B5536D" w:rsidP="00764386">
            <w:pPr>
              <w:contextualSpacing/>
              <w:jc w:val="center"/>
              <w:rPr>
                <w:rFonts w:ascii="Garamond" w:hAnsi="Garamond"/>
              </w:rPr>
            </w:pPr>
            <w:r>
              <w:rPr>
                <w:rFonts w:ascii="Garamond" w:hAnsi="Garamond"/>
              </w:rPr>
              <w:t>206</w:t>
            </w:r>
          </w:p>
        </w:tc>
        <w:tc>
          <w:tcPr>
            <w:tcW w:w="3192" w:type="dxa"/>
          </w:tcPr>
          <w:p w:rsidR="00B5536D" w:rsidRDefault="00B5536D" w:rsidP="00764386">
            <w:pPr>
              <w:contextualSpacing/>
              <w:jc w:val="center"/>
              <w:rPr>
                <w:rFonts w:ascii="Garamond" w:hAnsi="Garamond"/>
              </w:rPr>
            </w:pPr>
            <w:r>
              <w:rPr>
                <w:rFonts w:ascii="Garamond" w:hAnsi="Garamond"/>
              </w:rPr>
              <w:t>12.8%</w:t>
            </w:r>
          </w:p>
        </w:tc>
      </w:tr>
      <w:tr w:rsidR="00B5536D" w:rsidTr="001B6FFE">
        <w:tc>
          <w:tcPr>
            <w:tcW w:w="3618" w:type="dxa"/>
          </w:tcPr>
          <w:p w:rsidR="00B5536D" w:rsidRDefault="00B5536D" w:rsidP="00764386">
            <w:pPr>
              <w:contextualSpacing/>
              <w:rPr>
                <w:rFonts w:ascii="Garamond" w:hAnsi="Garamond"/>
              </w:rPr>
            </w:pPr>
            <w:r>
              <w:rPr>
                <w:rFonts w:ascii="Garamond" w:hAnsi="Garamond"/>
              </w:rPr>
              <w:t>$700 to $999</w:t>
            </w:r>
          </w:p>
        </w:tc>
        <w:tc>
          <w:tcPr>
            <w:tcW w:w="2766" w:type="dxa"/>
          </w:tcPr>
          <w:p w:rsidR="00B5536D" w:rsidRDefault="00B5536D" w:rsidP="00764386">
            <w:pPr>
              <w:contextualSpacing/>
              <w:jc w:val="center"/>
              <w:rPr>
                <w:rFonts w:ascii="Garamond" w:hAnsi="Garamond"/>
              </w:rPr>
            </w:pPr>
            <w:r>
              <w:rPr>
                <w:rFonts w:ascii="Garamond" w:hAnsi="Garamond"/>
              </w:rPr>
              <w:t>315</w:t>
            </w:r>
          </w:p>
        </w:tc>
        <w:tc>
          <w:tcPr>
            <w:tcW w:w="3192" w:type="dxa"/>
          </w:tcPr>
          <w:p w:rsidR="00B5536D" w:rsidRDefault="00B5536D" w:rsidP="00764386">
            <w:pPr>
              <w:contextualSpacing/>
              <w:jc w:val="center"/>
              <w:rPr>
                <w:rFonts w:ascii="Garamond" w:hAnsi="Garamond"/>
              </w:rPr>
            </w:pPr>
            <w:r>
              <w:rPr>
                <w:rFonts w:ascii="Garamond" w:hAnsi="Garamond"/>
              </w:rPr>
              <w:t>19.6%</w:t>
            </w:r>
          </w:p>
        </w:tc>
      </w:tr>
      <w:tr w:rsidR="00B5536D" w:rsidTr="001B6FFE">
        <w:tc>
          <w:tcPr>
            <w:tcW w:w="3618" w:type="dxa"/>
          </w:tcPr>
          <w:p w:rsidR="00B5536D" w:rsidRDefault="00B5536D" w:rsidP="00764386">
            <w:pPr>
              <w:contextualSpacing/>
              <w:rPr>
                <w:rFonts w:ascii="Garamond" w:hAnsi="Garamond"/>
              </w:rPr>
            </w:pPr>
            <w:r>
              <w:rPr>
                <w:rFonts w:ascii="Garamond" w:hAnsi="Garamond"/>
              </w:rPr>
              <w:t>$1,000 to $1,499</w:t>
            </w:r>
          </w:p>
        </w:tc>
        <w:tc>
          <w:tcPr>
            <w:tcW w:w="2766" w:type="dxa"/>
          </w:tcPr>
          <w:p w:rsidR="00B5536D" w:rsidRDefault="00B5536D" w:rsidP="00764386">
            <w:pPr>
              <w:contextualSpacing/>
              <w:jc w:val="center"/>
              <w:rPr>
                <w:rFonts w:ascii="Garamond" w:hAnsi="Garamond"/>
              </w:rPr>
            </w:pPr>
            <w:r>
              <w:rPr>
                <w:rFonts w:ascii="Garamond" w:hAnsi="Garamond"/>
              </w:rPr>
              <w:t>540</w:t>
            </w:r>
          </w:p>
        </w:tc>
        <w:tc>
          <w:tcPr>
            <w:tcW w:w="3192" w:type="dxa"/>
          </w:tcPr>
          <w:p w:rsidR="00B5536D" w:rsidRDefault="00B5536D" w:rsidP="00764386">
            <w:pPr>
              <w:contextualSpacing/>
              <w:jc w:val="center"/>
              <w:rPr>
                <w:rFonts w:ascii="Garamond" w:hAnsi="Garamond"/>
              </w:rPr>
            </w:pPr>
            <w:r>
              <w:rPr>
                <w:rFonts w:ascii="Garamond" w:hAnsi="Garamond"/>
              </w:rPr>
              <w:t>33.5%</w:t>
            </w:r>
          </w:p>
        </w:tc>
      </w:tr>
      <w:tr w:rsidR="00B5536D" w:rsidTr="001B6FFE">
        <w:tc>
          <w:tcPr>
            <w:tcW w:w="3618" w:type="dxa"/>
          </w:tcPr>
          <w:p w:rsidR="00B5536D" w:rsidRDefault="00B5536D" w:rsidP="00764386">
            <w:pPr>
              <w:contextualSpacing/>
              <w:rPr>
                <w:rFonts w:ascii="Garamond" w:hAnsi="Garamond"/>
              </w:rPr>
            </w:pPr>
            <w:r>
              <w:rPr>
                <w:rFonts w:ascii="Garamond" w:hAnsi="Garamond"/>
              </w:rPr>
              <w:t>$1,500 to $1,999</w:t>
            </w:r>
          </w:p>
        </w:tc>
        <w:tc>
          <w:tcPr>
            <w:tcW w:w="2766" w:type="dxa"/>
          </w:tcPr>
          <w:p w:rsidR="00B5536D" w:rsidRDefault="00B5536D" w:rsidP="00764386">
            <w:pPr>
              <w:contextualSpacing/>
              <w:jc w:val="center"/>
              <w:rPr>
                <w:rFonts w:ascii="Garamond" w:hAnsi="Garamond"/>
              </w:rPr>
            </w:pPr>
            <w:r>
              <w:rPr>
                <w:rFonts w:ascii="Garamond" w:hAnsi="Garamond"/>
              </w:rPr>
              <w:t>390</w:t>
            </w:r>
          </w:p>
        </w:tc>
        <w:tc>
          <w:tcPr>
            <w:tcW w:w="3192" w:type="dxa"/>
          </w:tcPr>
          <w:p w:rsidR="00B5536D" w:rsidRDefault="00B5536D" w:rsidP="00764386">
            <w:pPr>
              <w:contextualSpacing/>
              <w:jc w:val="center"/>
              <w:rPr>
                <w:rFonts w:ascii="Garamond" w:hAnsi="Garamond"/>
              </w:rPr>
            </w:pPr>
            <w:r>
              <w:rPr>
                <w:rFonts w:ascii="Garamond" w:hAnsi="Garamond"/>
              </w:rPr>
              <w:t>24.2%</w:t>
            </w:r>
          </w:p>
        </w:tc>
      </w:tr>
      <w:tr w:rsidR="00B5536D" w:rsidTr="001B6FFE">
        <w:tc>
          <w:tcPr>
            <w:tcW w:w="3618" w:type="dxa"/>
          </w:tcPr>
          <w:p w:rsidR="00B5536D" w:rsidRDefault="00B5536D" w:rsidP="00764386">
            <w:pPr>
              <w:contextualSpacing/>
              <w:rPr>
                <w:rFonts w:ascii="Garamond" w:hAnsi="Garamond"/>
              </w:rPr>
            </w:pPr>
            <w:r>
              <w:rPr>
                <w:rFonts w:ascii="Garamond" w:hAnsi="Garamond"/>
              </w:rPr>
              <w:t>$2,000 or more</w:t>
            </w:r>
          </w:p>
        </w:tc>
        <w:tc>
          <w:tcPr>
            <w:tcW w:w="2766" w:type="dxa"/>
          </w:tcPr>
          <w:p w:rsidR="00B5536D" w:rsidRDefault="00B5536D" w:rsidP="00764386">
            <w:pPr>
              <w:contextualSpacing/>
              <w:jc w:val="center"/>
              <w:rPr>
                <w:rFonts w:ascii="Garamond" w:hAnsi="Garamond"/>
              </w:rPr>
            </w:pPr>
            <w:r>
              <w:rPr>
                <w:rFonts w:ascii="Garamond" w:hAnsi="Garamond"/>
              </w:rPr>
              <w:t>124</w:t>
            </w:r>
          </w:p>
        </w:tc>
        <w:tc>
          <w:tcPr>
            <w:tcW w:w="3192" w:type="dxa"/>
          </w:tcPr>
          <w:p w:rsidR="00B5536D" w:rsidRDefault="00B5536D" w:rsidP="00EE571F">
            <w:pPr>
              <w:keepNext/>
              <w:contextualSpacing/>
              <w:jc w:val="center"/>
              <w:rPr>
                <w:rFonts w:ascii="Garamond" w:hAnsi="Garamond"/>
              </w:rPr>
            </w:pPr>
            <w:r>
              <w:rPr>
                <w:rFonts w:ascii="Garamond" w:hAnsi="Garamond"/>
              </w:rPr>
              <w:t>7.7%</w:t>
            </w:r>
          </w:p>
        </w:tc>
      </w:tr>
    </w:tbl>
    <w:p w:rsidR="00B5536D" w:rsidRDefault="00EE571F" w:rsidP="00EE571F">
      <w:pPr>
        <w:pStyle w:val="Caption"/>
      </w:pPr>
      <w:r>
        <w:t xml:space="preserve">Figure </w:t>
      </w:r>
      <w:fldSimple w:instr=" SEQ Figure \* ARABIC ">
        <w:r w:rsidR="00707511">
          <w:rPr>
            <w:noProof/>
          </w:rPr>
          <w:t>29</w:t>
        </w:r>
      </w:fldSimple>
    </w:p>
    <w:p w:rsidR="00355BC6" w:rsidRDefault="00355BC6">
      <w:pPr>
        <w:rPr>
          <w:b/>
          <w:color w:val="4E5612"/>
          <w:sz w:val="25"/>
        </w:rPr>
      </w:pPr>
      <w:r>
        <w:rPr>
          <w:b/>
          <w:color w:val="4E5612"/>
          <w:sz w:val="25"/>
        </w:rPr>
        <w:br w:type="page"/>
      </w:r>
    </w:p>
    <w:p w:rsidR="00B85456" w:rsidRDefault="00B5536D" w:rsidP="00764386">
      <w:pPr>
        <w:spacing w:line="240" w:lineRule="auto"/>
        <w:contextualSpacing/>
        <w:rPr>
          <w:b/>
          <w:color w:val="4E5612"/>
          <w:sz w:val="25"/>
        </w:rPr>
      </w:pPr>
      <w:r w:rsidRPr="00B864AC">
        <w:rPr>
          <w:b/>
          <w:color w:val="4E5612"/>
          <w:sz w:val="25"/>
        </w:rPr>
        <w:lastRenderedPageBreak/>
        <w:t xml:space="preserve">Housing Cost </w:t>
      </w:r>
      <w:proofErr w:type="gramStart"/>
      <w:r w:rsidRPr="00B864AC">
        <w:rPr>
          <w:b/>
          <w:color w:val="4E5612"/>
          <w:sz w:val="25"/>
        </w:rPr>
        <w:t>Without</w:t>
      </w:r>
      <w:proofErr w:type="gramEnd"/>
      <w:r w:rsidRPr="00B864AC">
        <w:rPr>
          <w:b/>
          <w:color w:val="4E5612"/>
          <w:sz w:val="25"/>
        </w:rPr>
        <w:t xml:space="preserve"> a Mortgage</w:t>
      </w:r>
    </w:p>
    <w:p w:rsidR="00B5536D" w:rsidRDefault="00B85456" w:rsidP="00764386">
      <w:pPr>
        <w:spacing w:line="240" w:lineRule="auto"/>
        <w:contextualSpacing/>
      </w:pPr>
      <w:r>
        <w:t xml:space="preserve">While the highest </w:t>
      </w:r>
      <w:proofErr w:type="gramStart"/>
      <w:r>
        <w:t>percentage of people pay</w:t>
      </w:r>
      <w:proofErr w:type="gramEnd"/>
      <w:r>
        <w:t xml:space="preserve"> about $400 per month on houses without a mortgage, the median cost for houses without a mortgage was $335 per month. </w:t>
      </w:r>
    </w:p>
    <w:p w:rsidR="00355BC6" w:rsidRPr="00B85456" w:rsidRDefault="00355BC6" w:rsidP="00764386">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618"/>
        <w:gridCol w:w="2766"/>
        <w:gridCol w:w="3192"/>
      </w:tblGrid>
      <w:tr w:rsidR="00B5536D" w:rsidTr="001B6FFE">
        <w:tc>
          <w:tcPr>
            <w:tcW w:w="3618" w:type="dxa"/>
          </w:tcPr>
          <w:p w:rsidR="00B5536D" w:rsidRDefault="00B5536D" w:rsidP="00764386">
            <w:pPr>
              <w:contextualSpacing/>
              <w:rPr>
                <w:rFonts w:ascii="Garamond" w:hAnsi="Garamond"/>
              </w:rPr>
            </w:pPr>
            <w:r>
              <w:rPr>
                <w:rFonts w:ascii="Garamond" w:hAnsi="Garamond"/>
              </w:rPr>
              <w:t>Monthly Mortgage Cost</w:t>
            </w:r>
          </w:p>
        </w:tc>
        <w:tc>
          <w:tcPr>
            <w:tcW w:w="2766" w:type="dxa"/>
          </w:tcPr>
          <w:p w:rsidR="00B5536D" w:rsidRDefault="00B5536D" w:rsidP="00764386">
            <w:pPr>
              <w:contextualSpacing/>
              <w:jc w:val="center"/>
              <w:rPr>
                <w:rFonts w:ascii="Garamond" w:hAnsi="Garamond"/>
              </w:rPr>
            </w:pPr>
            <w:r>
              <w:rPr>
                <w:rFonts w:ascii="Garamond" w:hAnsi="Garamond"/>
              </w:rPr>
              <w:t>Number of Units</w:t>
            </w:r>
          </w:p>
        </w:tc>
        <w:tc>
          <w:tcPr>
            <w:tcW w:w="3192" w:type="dxa"/>
          </w:tcPr>
          <w:p w:rsidR="00B5536D" w:rsidRDefault="00B5536D" w:rsidP="00764386">
            <w:pPr>
              <w:contextualSpacing/>
              <w:jc w:val="center"/>
              <w:rPr>
                <w:rFonts w:ascii="Garamond" w:hAnsi="Garamond"/>
              </w:rPr>
            </w:pPr>
            <w:r>
              <w:rPr>
                <w:rFonts w:ascii="Garamond" w:hAnsi="Garamond"/>
              </w:rPr>
              <w:t>Percent of Total Units</w:t>
            </w:r>
          </w:p>
        </w:tc>
      </w:tr>
      <w:tr w:rsidR="00B5536D" w:rsidTr="001B6FFE">
        <w:tc>
          <w:tcPr>
            <w:tcW w:w="3618" w:type="dxa"/>
          </w:tcPr>
          <w:p w:rsidR="00B5536D" w:rsidRDefault="00B5536D" w:rsidP="00764386">
            <w:pPr>
              <w:contextualSpacing/>
              <w:rPr>
                <w:rFonts w:ascii="Garamond" w:hAnsi="Garamond"/>
              </w:rPr>
            </w:pPr>
            <w:r>
              <w:rPr>
                <w:rFonts w:ascii="Garamond" w:hAnsi="Garamond"/>
              </w:rPr>
              <w:t>Less than $100</w:t>
            </w:r>
          </w:p>
        </w:tc>
        <w:tc>
          <w:tcPr>
            <w:tcW w:w="2766" w:type="dxa"/>
          </w:tcPr>
          <w:p w:rsidR="00B5536D" w:rsidRDefault="00B5536D" w:rsidP="00764386">
            <w:pPr>
              <w:contextualSpacing/>
              <w:jc w:val="center"/>
              <w:rPr>
                <w:rFonts w:ascii="Garamond" w:hAnsi="Garamond"/>
              </w:rPr>
            </w:pPr>
            <w:r>
              <w:rPr>
                <w:rFonts w:ascii="Garamond" w:hAnsi="Garamond"/>
              </w:rPr>
              <w:t>0</w:t>
            </w:r>
          </w:p>
        </w:tc>
        <w:tc>
          <w:tcPr>
            <w:tcW w:w="3192" w:type="dxa"/>
          </w:tcPr>
          <w:p w:rsidR="00B5536D" w:rsidRDefault="00B5536D" w:rsidP="00764386">
            <w:pPr>
              <w:contextualSpacing/>
              <w:jc w:val="center"/>
              <w:rPr>
                <w:rFonts w:ascii="Garamond" w:hAnsi="Garamond"/>
              </w:rPr>
            </w:pPr>
            <w:r>
              <w:rPr>
                <w:rFonts w:ascii="Garamond" w:hAnsi="Garamond"/>
              </w:rPr>
              <w:t>0.0%</w:t>
            </w:r>
          </w:p>
        </w:tc>
      </w:tr>
      <w:tr w:rsidR="00B5536D" w:rsidTr="001B6FFE">
        <w:tc>
          <w:tcPr>
            <w:tcW w:w="3618" w:type="dxa"/>
          </w:tcPr>
          <w:p w:rsidR="00B5536D" w:rsidRDefault="00B5536D" w:rsidP="00764386">
            <w:pPr>
              <w:contextualSpacing/>
              <w:rPr>
                <w:rFonts w:ascii="Garamond" w:hAnsi="Garamond"/>
              </w:rPr>
            </w:pPr>
            <w:r>
              <w:rPr>
                <w:rFonts w:ascii="Garamond" w:hAnsi="Garamond"/>
              </w:rPr>
              <w:t>$100 to $199</w:t>
            </w:r>
          </w:p>
        </w:tc>
        <w:tc>
          <w:tcPr>
            <w:tcW w:w="2766" w:type="dxa"/>
          </w:tcPr>
          <w:p w:rsidR="00B5536D" w:rsidRDefault="00B5536D" w:rsidP="00764386">
            <w:pPr>
              <w:contextualSpacing/>
              <w:jc w:val="center"/>
              <w:rPr>
                <w:rFonts w:ascii="Garamond" w:hAnsi="Garamond"/>
              </w:rPr>
            </w:pPr>
            <w:r>
              <w:rPr>
                <w:rFonts w:ascii="Garamond" w:hAnsi="Garamond"/>
              </w:rPr>
              <w:t>44</w:t>
            </w:r>
          </w:p>
        </w:tc>
        <w:tc>
          <w:tcPr>
            <w:tcW w:w="3192" w:type="dxa"/>
          </w:tcPr>
          <w:p w:rsidR="00B5536D" w:rsidRDefault="00B5536D" w:rsidP="00764386">
            <w:pPr>
              <w:contextualSpacing/>
              <w:jc w:val="center"/>
              <w:rPr>
                <w:rFonts w:ascii="Garamond" w:hAnsi="Garamond"/>
              </w:rPr>
            </w:pPr>
            <w:r>
              <w:rPr>
                <w:rFonts w:ascii="Garamond" w:hAnsi="Garamond"/>
              </w:rPr>
              <w:t>6.6%</w:t>
            </w:r>
          </w:p>
        </w:tc>
      </w:tr>
      <w:tr w:rsidR="00B5536D" w:rsidTr="001B6FFE">
        <w:tc>
          <w:tcPr>
            <w:tcW w:w="3618" w:type="dxa"/>
          </w:tcPr>
          <w:p w:rsidR="00B5536D" w:rsidRDefault="00B5536D" w:rsidP="00764386">
            <w:pPr>
              <w:contextualSpacing/>
              <w:rPr>
                <w:rFonts w:ascii="Garamond" w:hAnsi="Garamond"/>
              </w:rPr>
            </w:pPr>
            <w:r>
              <w:rPr>
                <w:rFonts w:ascii="Garamond" w:hAnsi="Garamond"/>
              </w:rPr>
              <w:t>$200 to $299</w:t>
            </w:r>
          </w:p>
        </w:tc>
        <w:tc>
          <w:tcPr>
            <w:tcW w:w="2766" w:type="dxa"/>
          </w:tcPr>
          <w:p w:rsidR="00B5536D" w:rsidRDefault="00B5536D" w:rsidP="00764386">
            <w:pPr>
              <w:contextualSpacing/>
              <w:jc w:val="center"/>
              <w:rPr>
                <w:rFonts w:ascii="Garamond" w:hAnsi="Garamond"/>
              </w:rPr>
            </w:pPr>
            <w:r>
              <w:rPr>
                <w:rFonts w:ascii="Garamond" w:hAnsi="Garamond"/>
              </w:rPr>
              <w:t>197</w:t>
            </w:r>
          </w:p>
        </w:tc>
        <w:tc>
          <w:tcPr>
            <w:tcW w:w="3192" w:type="dxa"/>
          </w:tcPr>
          <w:p w:rsidR="00B5536D" w:rsidRDefault="00B5536D" w:rsidP="00764386">
            <w:pPr>
              <w:contextualSpacing/>
              <w:jc w:val="center"/>
              <w:rPr>
                <w:rFonts w:ascii="Garamond" w:hAnsi="Garamond"/>
              </w:rPr>
            </w:pPr>
            <w:r>
              <w:rPr>
                <w:rFonts w:ascii="Garamond" w:hAnsi="Garamond"/>
              </w:rPr>
              <w:t>29.8%</w:t>
            </w:r>
          </w:p>
        </w:tc>
      </w:tr>
      <w:tr w:rsidR="00B5536D" w:rsidTr="001B6FFE">
        <w:tc>
          <w:tcPr>
            <w:tcW w:w="3618" w:type="dxa"/>
          </w:tcPr>
          <w:p w:rsidR="00B5536D" w:rsidRDefault="00B5536D" w:rsidP="00764386">
            <w:pPr>
              <w:contextualSpacing/>
              <w:rPr>
                <w:rFonts w:ascii="Garamond" w:hAnsi="Garamond"/>
              </w:rPr>
            </w:pPr>
            <w:r>
              <w:rPr>
                <w:rFonts w:ascii="Garamond" w:hAnsi="Garamond"/>
              </w:rPr>
              <w:t>$300 to $399</w:t>
            </w:r>
          </w:p>
        </w:tc>
        <w:tc>
          <w:tcPr>
            <w:tcW w:w="2766" w:type="dxa"/>
          </w:tcPr>
          <w:p w:rsidR="00B5536D" w:rsidRDefault="00B5536D" w:rsidP="00764386">
            <w:pPr>
              <w:contextualSpacing/>
              <w:jc w:val="center"/>
              <w:rPr>
                <w:rFonts w:ascii="Garamond" w:hAnsi="Garamond"/>
              </w:rPr>
            </w:pPr>
            <w:r>
              <w:rPr>
                <w:rFonts w:ascii="Garamond" w:hAnsi="Garamond"/>
              </w:rPr>
              <w:t>165</w:t>
            </w:r>
          </w:p>
        </w:tc>
        <w:tc>
          <w:tcPr>
            <w:tcW w:w="3192" w:type="dxa"/>
          </w:tcPr>
          <w:p w:rsidR="00B5536D" w:rsidRDefault="00B5536D" w:rsidP="00764386">
            <w:pPr>
              <w:contextualSpacing/>
              <w:jc w:val="center"/>
              <w:rPr>
                <w:rFonts w:ascii="Garamond" w:hAnsi="Garamond"/>
              </w:rPr>
            </w:pPr>
            <w:r>
              <w:rPr>
                <w:rFonts w:ascii="Garamond" w:hAnsi="Garamond"/>
              </w:rPr>
              <w:t>24.9%</w:t>
            </w:r>
          </w:p>
        </w:tc>
      </w:tr>
      <w:tr w:rsidR="00B5536D" w:rsidTr="001B6FFE">
        <w:tc>
          <w:tcPr>
            <w:tcW w:w="3618" w:type="dxa"/>
          </w:tcPr>
          <w:p w:rsidR="00B5536D" w:rsidRDefault="00B5536D" w:rsidP="00764386">
            <w:pPr>
              <w:contextualSpacing/>
              <w:rPr>
                <w:rFonts w:ascii="Garamond" w:hAnsi="Garamond"/>
              </w:rPr>
            </w:pPr>
            <w:r>
              <w:rPr>
                <w:rFonts w:ascii="Garamond" w:hAnsi="Garamond"/>
              </w:rPr>
              <w:t>$400 to more</w:t>
            </w:r>
          </w:p>
        </w:tc>
        <w:tc>
          <w:tcPr>
            <w:tcW w:w="2766" w:type="dxa"/>
          </w:tcPr>
          <w:p w:rsidR="00B5536D" w:rsidRDefault="00B5536D" w:rsidP="00764386">
            <w:pPr>
              <w:contextualSpacing/>
              <w:jc w:val="center"/>
              <w:rPr>
                <w:rFonts w:ascii="Garamond" w:hAnsi="Garamond"/>
              </w:rPr>
            </w:pPr>
            <w:r>
              <w:rPr>
                <w:rFonts w:ascii="Garamond" w:hAnsi="Garamond"/>
              </w:rPr>
              <w:t>256</w:t>
            </w:r>
          </w:p>
        </w:tc>
        <w:tc>
          <w:tcPr>
            <w:tcW w:w="3192" w:type="dxa"/>
          </w:tcPr>
          <w:p w:rsidR="00B5536D" w:rsidRDefault="00B5536D" w:rsidP="00EE571F">
            <w:pPr>
              <w:keepNext/>
              <w:contextualSpacing/>
              <w:jc w:val="center"/>
              <w:rPr>
                <w:rFonts w:ascii="Garamond" w:hAnsi="Garamond"/>
              </w:rPr>
            </w:pPr>
            <w:r>
              <w:rPr>
                <w:rFonts w:ascii="Garamond" w:hAnsi="Garamond"/>
              </w:rPr>
              <w:t>38.7%</w:t>
            </w:r>
          </w:p>
        </w:tc>
      </w:tr>
    </w:tbl>
    <w:p w:rsidR="00B5536D" w:rsidRDefault="00EE571F" w:rsidP="00EE571F">
      <w:pPr>
        <w:pStyle w:val="Caption"/>
      </w:pPr>
      <w:r>
        <w:t xml:space="preserve">Figure </w:t>
      </w:r>
      <w:fldSimple w:instr=" SEQ Figure \* ARABIC ">
        <w:r w:rsidR="00707511">
          <w:rPr>
            <w:noProof/>
          </w:rPr>
          <w:t>30</w:t>
        </w:r>
      </w:fldSimple>
    </w:p>
    <w:p w:rsidR="00B85456" w:rsidRDefault="00B5536D" w:rsidP="00764386">
      <w:pPr>
        <w:spacing w:line="240" w:lineRule="auto"/>
        <w:contextualSpacing/>
        <w:rPr>
          <w:b/>
          <w:color w:val="4E5612"/>
          <w:sz w:val="25"/>
        </w:rPr>
      </w:pPr>
      <w:r w:rsidRPr="00B864AC">
        <w:rPr>
          <w:b/>
          <w:color w:val="4E5612"/>
          <w:sz w:val="25"/>
        </w:rPr>
        <w:t>Monthly Rental Costs</w:t>
      </w:r>
    </w:p>
    <w:p w:rsidR="00B5536D" w:rsidRDefault="00B85456" w:rsidP="00764386">
      <w:pPr>
        <w:spacing w:line="240" w:lineRule="auto"/>
        <w:contextualSpacing/>
      </w:pPr>
      <w:r>
        <w:t>The median price per month that renters paid was $591.</w:t>
      </w:r>
      <w:r w:rsidR="007203B8" w:rsidRPr="007203B8">
        <w:rPr>
          <w:rStyle w:val="FootnoteReference"/>
        </w:rPr>
        <w:t xml:space="preserve"> </w:t>
      </w:r>
      <w:r w:rsidR="007203B8">
        <w:rPr>
          <w:rStyle w:val="FootnoteReference"/>
        </w:rPr>
        <w:footnoteReference w:id="40"/>
      </w:r>
    </w:p>
    <w:p w:rsidR="00355BC6" w:rsidRPr="007203B8" w:rsidRDefault="00355BC6" w:rsidP="00764386">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92"/>
        <w:gridCol w:w="3192"/>
        <w:gridCol w:w="3192"/>
      </w:tblGrid>
      <w:tr w:rsidR="00B5536D" w:rsidTr="001B6FFE">
        <w:tc>
          <w:tcPr>
            <w:tcW w:w="3192" w:type="dxa"/>
          </w:tcPr>
          <w:p w:rsidR="00B5536D" w:rsidRDefault="00B5536D" w:rsidP="00764386">
            <w:pPr>
              <w:contextualSpacing/>
              <w:rPr>
                <w:rFonts w:ascii="Garamond" w:hAnsi="Garamond"/>
              </w:rPr>
            </w:pPr>
            <w:r>
              <w:rPr>
                <w:rFonts w:ascii="Garamond" w:hAnsi="Garamond"/>
              </w:rPr>
              <w:t>Rental Cost Per Month</w:t>
            </w:r>
          </w:p>
        </w:tc>
        <w:tc>
          <w:tcPr>
            <w:tcW w:w="3192" w:type="dxa"/>
          </w:tcPr>
          <w:p w:rsidR="00B5536D" w:rsidRDefault="00B5536D" w:rsidP="00764386">
            <w:pPr>
              <w:contextualSpacing/>
              <w:jc w:val="center"/>
              <w:rPr>
                <w:rFonts w:ascii="Garamond" w:hAnsi="Garamond"/>
              </w:rPr>
            </w:pPr>
            <w:r>
              <w:rPr>
                <w:rFonts w:ascii="Garamond" w:hAnsi="Garamond"/>
              </w:rPr>
              <w:t>Number of Units</w:t>
            </w:r>
          </w:p>
        </w:tc>
        <w:tc>
          <w:tcPr>
            <w:tcW w:w="3192" w:type="dxa"/>
          </w:tcPr>
          <w:p w:rsidR="00B5536D" w:rsidRDefault="00B5536D" w:rsidP="00764386">
            <w:pPr>
              <w:contextualSpacing/>
              <w:jc w:val="center"/>
              <w:rPr>
                <w:rFonts w:ascii="Garamond" w:hAnsi="Garamond"/>
              </w:rPr>
            </w:pPr>
            <w:r>
              <w:rPr>
                <w:rFonts w:ascii="Garamond" w:hAnsi="Garamond"/>
              </w:rPr>
              <w:t>Percentage of Total Units</w:t>
            </w:r>
          </w:p>
        </w:tc>
      </w:tr>
      <w:tr w:rsidR="00B5536D" w:rsidTr="001B6FFE">
        <w:tc>
          <w:tcPr>
            <w:tcW w:w="3192" w:type="dxa"/>
          </w:tcPr>
          <w:p w:rsidR="00B5536D" w:rsidRDefault="00B5536D" w:rsidP="00764386">
            <w:pPr>
              <w:contextualSpacing/>
              <w:rPr>
                <w:rFonts w:ascii="Garamond" w:hAnsi="Garamond"/>
              </w:rPr>
            </w:pPr>
            <w:r>
              <w:rPr>
                <w:rFonts w:ascii="Garamond" w:hAnsi="Garamond"/>
              </w:rPr>
              <w:t>Less than $200</w:t>
            </w:r>
          </w:p>
        </w:tc>
        <w:tc>
          <w:tcPr>
            <w:tcW w:w="3192" w:type="dxa"/>
          </w:tcPr>
          <w:p w:rsidR="00B5536D" w:rsidRDefault="00B5536D" w:rsidP="00764386">
            <w:pPr>
              <w:contextualSpacing/>
              <w:jc w:val="center"/>
              <w:rPr>
                <w:rFonts w:ascii="Garamond" w:hAnsi="Garamond"/>
              </w:rPr>
            </w:pPr>
            <w:r>
              <w:rPr>
                <w:rFonts w:ascii="Garamond" w:hAnsi="Garamond"/>
              </w:rPr>
              <w:t>106</w:t>
            </w:r>
          </w:p>
        </w:tc>
        <w:tc>
          <w:tcPr>
            <w:tcW w:w="3192" w:type="dxa"/>
          </w:tcPr>
          <w:p w:rsidR="00B5536D" w:rsidRDefault="00B5536D" w:rsidP="00764386">
            <w:pPr>
              <w:contextualSpacing/>
              <w:jc w:val="center"/>
              <w:rPr>
                <w:rFonts w:ascii="Garamond" w:hAnsi="Garamond"/>
              </w:rPr>
            </w:pPr>
            <w:r>
              <w:rPr>
                <w:rFonts w:ascii="Garamond" w:hAnsi="Garamond"/>
              </w:rPr>
              <w:t>2.6%</w:t>
            </w:r>
          </w:p>
        </w:tc>
      </w:tr>
      <w:tr w:rsidR="00B5536D" w:rsidTr="001B6FFE">
        <w:tc>
          <w:tcPr>
            <w:tcW w:w="3192" w:type="dxa"/>
          </w:tcPr>
          <w:p w:rsidR="00B5536D" w:rsidRDefault="00B5536D" w:rsidP="00764386">
            <w:pPr>
              <w:contextualSpacing/>
              <w:rPr>
                <w:rFonts w:ascii="Garamond" w:hAnsi="Garamond"/>
              </w:rPr>
            </w:pPr>
            <w:r>
              <w:rPr>
                <w:rFonts w:ascii="Garamond" w:hAnsi="Garamond"/>
              </w:rPr>
              <w:t>$200 to $299</w:t>
            </w:r>
          </w:p>
        </w:tc>
        <w:tc>
          <w:tcPr>
            <w:tcW w:w="3192" w:type="dxa"/>
          </w:tcPr>
          <w:p w:rsidR="00B5536D" w:rsidRDefault="00B5536D" w:rsidP="00764386">
            <w:pPr>
              <w:contextualSpacing/>
              <w:jc w:val="center"/>
              <w:rPr>
                <w:rFonts w:ascii="Garamond" w:hAnsi="Garamond"/>
              </w:rPr>
            </w:pPr>
            <w:r>
              <w:rPr>
                <w:rFonts w:ascii="Garamond" w:hAnsi="Garamond"/>
              </w:rPr>
              <w:t>204</w:t>
            </w:r>
          </w:p>
        </w:tc>
        <w:tc>
          <w:tcPr>
            <w:tcW w:w="3192" w:type="dxa"/>
          </w:tcPr>
          <w:p w:rsidR="00B5536D" w:rsidRDefault="00B5536D" w:rsidP="00764386">
            <w:pPr>
              <w:contextualSpacing/>
              <w:jc w:val="center"/>
              <w:rPr>
                <w:rFonts w:ascii="Garamond" w:hAnsi="Garamond"/>
              </w:rPr>
            </w:pPr>
            <w:r>
              <w:rPr>
                <w:rFonts w:ascii="Garamond" w:hAnsi="Garamond"/>
              </w:rPr>
              <w:t>4.9%</w:t>
            </w:r>
          </w:p>
        </w:tc>
      </w:tr>
      <w:tr w:rsidR="00B5536D" w:rsidTr="001B6FFE">
        <w:tc>
          <w:tcPr>
            <w:tcW w:w="3192" w:type="dxa"/>
          </w:tcPr>
          <w:p w:rsidR="00B5536D" w:rsidRDefault="00B5536D" w:rsidP="00764386">
            <w:pPr>
              <w:contextualSpacing/>
              <w:rPr>
                <w:rFonts w:ascii="Garamond" w:hAnsi="Garamond"/>
              </w:rPr>
            </w:pPr>
            <w:r>
              <w:rPr>
                <w:rFonts w:ascii="Garamond" w:hAnsi="Garamond"/>
              </w:rPr>
              <w:t>$300 to $499</w:t>
            </w:r>
          </w:p>
        </w:tc>
        <w:tc>
          <w:tcPr>
            <w:tcW w:w="3192" w:type="dxa"/>
          </w:tcPr>
          <w:p w:rsidR="00B5536D" w:rsidRDefault="00B5536D" w:rsidP="00764386">
            <w:pPr>
              <w:contextualSpacing/>
              <w:jc w:val="center"/>
              <w:rPr>
                <w:rFonts w:ascii="Garamond" w:hAnsi="Garamond"/>
              </w:rPr>
            </w:pPr>
            <w:r>
              <w:rPr>
                <w:rFonts w:ascii="Garamond" w:hAnsi="Garamond"/>
              </w:rPr>
              <w:t>648</w:t>
            </w:r>
          </w:p>
        </w:tc>
        <w:tc>
          <w:tcPr>
            <w:tcW w:w="3192" w:type="dxa"/>
          </w:tcPr>
          <w:p w:rsidR="00B5536D" w:rsidRDefault="00B5536D" w:rsidP="00764386">
            <w:pPr>
              <w:contextualSpacing/>
              <w:jc w:val="center"/>
              <w:rPr>
                <w:rFonts w:ascii="Garamond" w:hAnsi="Garamond"/>
              </w:rPr>
            </w:pPr>
            <w:r>
              <w:rPr>
                <w:rFonts w:ascii="Garamond" w:hAnsi="Garamond"/>
              </w:rPr>
              <w:t>15.6%</w:t>
            </w:r>
          </w:p>
        </w:tc>
      </w:tr>
      <w:tr w:rsidR="00B5536D" w:rsidTr="001B6FFE">
        <w:tc>
          <w:tcPr>
            <w:tcW w:w="3192" w:type="dxa"/>
          </w:tcPr>
          <w:p w:rsidR="00B5536D" w:rsidRDefault="00B5536D" w:rsidP="00764386">
            <w:pPr>
              <w:contextualSpacing/>
              <w:rPr>
                <w:rFonts w:ascii="Garamond" w:hAnsi="Garamond"/>
              </w:rPr>
            </w:pPr>
            <w:r>
              <w:rPr>
                <w:rFonts w:ascii="Garamond" w:hAnsi="Garamond"/>
              </w:rPr>
              <w:t>$500 to $749</w:t>
            </w:r>
          </w:p>
        </w:tc>
        <w:tc>
          <w:tcPr>
            <w:tcW w:w="3192" w:type="dxa"/>
          </w:tcPr>
          <w:p w:rsidR="00B5536D" w:rsidRDefault="00B5536D" w:rsidP="00764386">
            <w:pPr>
              <w:contextualSpacing/>
              <w:jc w:val="center"/>
              <w:rPr>
                <w:rFonts w:ascii="Garamond" w:hAnsi="Garamond"/>
              </w:rPr>
            </w:pPr>
            <w:r>
              <w:rPr>
                <w:rFonts w:ascii="Garamond" w:hAnsi="Garamond"/>
              </w:rPr>
              <w:t>1,947</w:t>
            </w:r>
          </w:p>
        </w:tc>
        <w:tc>
          <w:tcPr>
            <w:tcW w:w="3192" w:type="dxa"/>
          </w:tcPr>
          <w:p w:rsidR="00B5536D" w:rsidRDefault="00B5536D" w:rsidP="00764386">
            <w:pPr>
              <w:contextualSpacing/>
              <w:jc w:val="center"/>
              <w:rPr>
                <w:rFonts w:ascii="Garamond" w:hAnsi="Garamond"/>
              </w:rPr>
            </w:pPr>
            <w:r>
              <w:rPr>
                <w:rFonts w:ascii="Garamond" w:hAnsi="Garamond"/>
              </w:rPr>
              <w:t>47.0%</w:t>
            </w:r>
          </w:p>
        </w:tc>
      </w:tr>
      <w:tr w:rsidR="00B5536D" w:rsidTr="001B6FFE">
        <w:tc>
          <w:tcPr>
            <w:tcW w:w="3192" w:type="dxa"/>
          </w:tcPr>
          <w:p w:rsidR="00B5536D" w:rsidRDefault="00B5536D" w:rsidP="00764386">
            <w:pPr>
              <w:contextualSpacing/>
              <w:rPr>
                <w:rFonts w:ascii="Garamond" w:hAnsi="Garamond"/>
              </w:rPr>
            </w:pPr>
            <w:r>
              <w:rPr>
                <w:rFonts w:ascii="Garamond" w:hAnsi="Garamond"/>
              </w:rPr>
              <w:t>$750 to $999</w:t>
            </w:r>
          </w:p>
        </w:tc>
        <w:tc>
          <w:tcPr>
            <w:tcW w:w="3192" w:type="dxa"/>
          </w:tcPr>
          <w:p w:rsidR="00B5536D" w:rsidRDefault="00B5536D" w:rsidP="00764386">
            <w:pPr>
              <w:contextualSpacing/>
              <w:jc w:val="center"/>
              <w:rPr>
                <w:rFonts w:ascii="Garamond" w:hAnsi="Garamond"/>
              </w:rPr>
            </w:pPr>
            <w:r>
              <w:rPr>
                <w:rFonts w:ascii="Garamond" w:hAnsi="Garamond"/>
              </w:rPr>
              <w:t>390</w:t>
            </w:r>
          </w:p>
        </w:tc>
        <w:tc>
          <w:tcPr>
            <w:tcW w:w="3192" w:type="dxa"/>
          </w:tcPr>
          <w:p w:rsidR="00B5536D" w:rsidRDefault="00B5536D" w:rsidP="00764386">
            <w:pPr>
              <w:contextualSpacing/>
              <w:jc w:val="center"/>
              <w:rPr>
                <w:rFonts w:ascii="Garamond" w:hAnsi="Garamond"/>
              </w:rPr>
            </w:pPr>
            <w:r>
              <w:rPr>
                <w:rFonts w:ascii="Garamond" w:hAnsi="Garamond"/>
              </w:rPr>
              <w:t>9.4%</w:t>
            </w:r>
          </w:p>
        </w:tc>
      </w:tr>
      <w:tr w:rsidR="00B5536D" w:rsidTr="001B6FFE">
        <w:tc>
          <w:tcPr>
            <w:tcW w:w="3192" w:type="dxa"/>
          </w:tcPr>
          <w:p w:rsidR="00B5536D" w:rsidRDefault="00B5536D" w:rsidP="00764386">
            <w:pPr>
              <w:contextualSpacing/>
              <w:rPr>
                <w:rFonts w:ascii="Garamond" w:hAnsi="Garamond"/>
              </w:rPr>
            </w:pPr>
            <w:r>
              <w:rPr>
                <w:rFonts w:ascii="Garamond" w:hAnsi="Garamond"/>
              </w:rPr>
              <w:t>$1,000 to $1,499</w:t>
            </w:r>
          </w:p>
        </w:tc>
        <w:tc>
          <w:tcPr>
            <w:tcW w:w="3192" w:type="dxa"/>
          </w:tcPr>
          <w:p w:rsidR="00B5536D" w:rsidRDefault="00B5536D" w:rsidP="00764386">
            <w:pPr>
              <w:contextualSpacing/>
              <w:jc w:val="center"/>
              <w:rPr>
                <w:rFonts w:ascii="Garamond" w:hAnsi="Garamond"/>
              </w:rPr>
            </w:pPr>
            <w:r>
              <w:rPr>
                <w:rFonts w:ascii="Garamond" w:hAnsi="Garamond"/>
              </w:rPr>
              <w:t>517</w:t>
            </w:r>
          </w:p>
        </w:tc>
        <w:tc>
          <w:tcPr>
            <w:tcW w:w="3192" w:type="dxa"/>
          </w:tcPr>
          <w:p w:rsidR="00B5536D" w:rsidRDefault="00B5536D" w:rsidP="00764386">
            <w:pPr>
              <w:contextualSpacing/>
              <w:jc w:val="center"/>
              <w:rPr>
                <w:rFonts w:ascii="Garamond" w:hAnsi="Garamond"/>
              </w:rPr>
            </w:pPr>
            <w:r>
              <w:rPr>
                <w:rFonts w:ascii="Garamond" w:hAnsi="Garamond"/>
              </w:rPr>
              <w:t>12.5%</w:t>
            </w:r>
          </w:p>
        </w:tc>
      </w:tr>
      <w:tr w:rsidR="00B5536D" w:rsidTr="001B6FFE">
        <w:tc>
          <w:tcPr>
            <w:tcW w:w="3192" w:type="dxa"/>
          </w:tcPr>
          <w:p w:rsidR="00B5536D" w:rsidRDefault="00B5536D" w:rsidP="00764386">
            <w:pPr>
              <w:contextualSpacing/>
              <w:rPr>
                <w:rFonts w:ascii="Garamond" w:hAnsi="Garamond"/>
              </w:rPr>
            </w:pPr>
            <w:r>
              <w:rPr>
                <w:rFonts w:ascii="Garamond" w:hAnsi="Garamond"/>
              </w:rPr>
              <w:t>$1,500 or more</w:t>
            </w:r>
          </w:p>
        </w:tc>
        <w:tc>
          <w:tcPr>
            <w:tcW w:w="3192" w:type="dxa"/>
          </w:tcPr>
          <w:p w:rsidR="00B5536D" w:rsidRDefault="00B5536D" w:rsidP="00764386">
            <w:pPr>
              <w:contextualSpacing/>
              <w:jc w:val="center"/>
              <w:rPr>
                <w:rFonts w:ascii="Garamond" w:hAnsi="Garamond"/>
              </w:rPr>
            </w:pPr>
            <w:r>
              <w:rPr>
                <w:rFonts w:ascii="Garamond" w:hAnsi="Garamond"/>
              </w:rPr>
              <w:t>334</w:t>
            </w:r>
          </w:p>
        </w:tc>
        <w:tc>
          <w:tcPr>
            <w:tcW w:w="3192" w:type="dxa"/>
          </w:tcPr>
          <w:p w:rsidR="00B5536D" w:rsidRDefault="00B5536D" w:rsidP="00EE571F">
            <w:pPr>
              <w:keepNext/>
              <w:contextualSpacing/>
              <w:jc w:val="center"/>
              <w:rPr>
                <w:rFonts w:ascii="Garamond" w:hAnsi="Garamond"/>
              </w:rPr>
            </w:pPr>
            <w:r>
              <w:rPr>
                <w:rFonts w:ascii="Garamond" w:hAnsi="Garamond"/>
              </w:rPr>
              <w:t>8.1%</w:t>
            </w:r>
          </w:p>
        </w:tc>
      </w:tr>
    </w:tbl>
    <w:p w:rsidR="00EE571F" w:rsidRDefault="00EE571F">
      <w:pPr>
        <w:pStyle w:val="Caption"/>
      </w:pPr>
      <w:r>
        <w:t xml:space="preserve">Figure </w:t>
      </w:r>
      <w:fldSimple w:instr=" SEQ Figure \* ARABIC ">
        <w:r w:rsidR="00707511">
          <w:rPr>
            <w:noProof/>
          </w:rPr>
          <w:t>31</w:t>
        </w:r>
      </w:fldSimple>
    </w:p>
    <w:p w:rsidR="00B85456" w:rsidRDefault="00B85456" w:rsidP="00B85456">
      <w:pPr>
        <w:spacing w:line="240" w:lineRule="auto"/>
        <w:contextualSpacing/>
      </w:pPr>
      <w:r>
        <w:t xml:space="preserve">While it is important to know how much people spend on housing each month, it is also very instructive to know what percentage of their income goes towards housing. The following tables show the percentage of income spent on housing in the following groups: houses with a mortgage, houses without a mortgage, and rental costs. </w:t>
      </w:r>
    </w:p>
    <w:p w:rsidR="00B85456" w:rsidRDefault="00B85456" w:rsidP="00764386">
      <w:pPr>
        <w:spacing w:line="240" w:lineRule="auto"/>
        <w:contextualSpacing/>
        <w:rPr>
          <w:b/>
          <w:color w:val="4E5612"/>
          <w:sz w:val="25"/>
        </w:rPr>
      </w:pPr>
    </w:p>
    <w:p w:rsidR="00B85456" w:rsidRDefault="00B5536D" w:rsidP="00764386">
      <w:pPr>
        <w:spacing w:line="240" w:lineRule="auto"/>
        <w:contextualSpacing/>
        <w:rPr>
          <w:b/>
          <w:color w:val="4E5612"/>
          <w:sz w:val="25"/>
        </w:rPr>
      </w:pPr>
      <w:r w:rsidRPr="00B864AC">
        <w:rPr>
          <w:b/>
          <w:color w:val="4E5612"/>
          <w:sz w:val="25"/>
        </w:rPr>
        <w:t xml:space="preserve">Percentage of Income Spent on Housing </w:t>
      </w:r>
      <w:proofErr w:type="gramStart"/>
      <w:r w:rsidRPr="00B864AC">
        <w:rPr>
          <w:b/>
          <w:color w:val="4E5612"/>
          <w:sz w:val="25"/>
        </w:rPr>
        <w:t>With</w:t>
      </w:r>
      <w:proofErr w:type="gramEnd"/>
      <w:r w:rsidRPr="00B864AC">
        <w:rPr>
          <w:b/>
          <w:color w:val="4E5612"/>
          <w:sz w:val="25"/>
        </w:rPr>
        <w:t xml:space="preserve"> a Mortgage</w:t>
      </w:r>
    </w:p>
    <w:p w:rsidR="00B5536D" w:rsidRDefault="00B85456" w:rsidP="00764386">
      <w:pPr>
        <w:spacing w:line="240" w:lineRule="auto"/>
        <w:contextualSpacing/>
      </w:pPr>
      <w:r>
        <w:t>The people that have a mortgage are usually more financially stable than those without mortgages or renting. This can be seen by looking at the high percentage of households that pay less than 20% of their monthly income towards their mortgage. More than one-third of the houses with a mortgage in Rexburg fall under this category.</w:t>
      </w:r>
    </w:p>
    <w:p w:rsidR="00355BC6" w:rsidRPr="00B85456" w:rsidRDefault="00355BC6" w:rsidP="00764386">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38"/>
        <w:gridCol w:w="2946"/>
        <w:gridCol w:w="3192"/>
      </w:tblGrid>
      <w:tr w:rsidR="00B5536D" w:rsidTr="001B6FFE">
        <w:tc>
          <w:tcPr>
            <w:tcW w:w="3438" w:type="dxa"/>
          </w:tcPr>
          <w:p w:rsidR="00B5536D" w:rsidRPr="006D7726" w:rsidRDefault="00B5536D" w:rsidP="00764386">
            <w:pPr>
              <w:contextualSpacing/>
              <w:rPr>
                <w:rFonts w:ascii="Garamond" w:hAnsi="Garamond"/>
                <w:b/>
              </w:rPr>
            </w:pPr>
            <w:r w:rsidRPr="006D7726">
              <w:rPr>
                <w:rFonts w:ascii="Garamond" w:hAnsi="Garamond"/>
                <w:b/>
              </w:rPr>
              <w:t>Monthly Percent</w:t>
            </w:r>
            <w:r>
              <w:rPr>
                <w:rFonts w:ascii="Garamond" w:hAnsi="Garamond"/>
                <w:b/>
              </w:rPr>
              <w:t>age</w:t>
            </w:r>
            <w:r w:rsidRPr="006D7726">
              <w:rPr>
                <w:rFonts w:ascii="Garamond" w:hAnsi="Garamond"/>
                <w:b/>
              </w:rPr>
              <w:t xml:space="preserve"> of Income </w:t>
            </w:r>
          </w:p>
        </w:tc>
        <w:tc>
          <w:tcPr>
            <w:tcW w:w="2946" w:type="dxa"/>
          </w:tcPr>
          <w:p w:rsidR="00B5536D" w:rsidRPr="006D7726" w:rsidRDefault="00B5536D" w:rsidP="00764386">
            <w:pPr>
              <w:contextualSpacing/>
              <w:jc w:val="center"/>
              <w:rPr>
                <w:rFonts w:ascii="Garamond" w:hAnsi="Garamond"/>
                <w:b/>
              </w:rPr>
            </w:pPr>
            <w:r w:rsidRPr="006D7726">
              <w:rPr>
                <w:rFonts w:ascii="Garamond" w:hAnsi="Garamond"/>
                <w:b/>
              </w:rPr>
              <w:t>Number of Units</w:t>
            </w:r>
          </w:p>
        </w:tc>
        <w:tc>
          <w:tcPr>
            <w:tcW w:w="3192" w:type="dxa"/>
          </w:tcPr>
          <w:p w:rsidR="00B5536D" w:rsidRPr="006D7726" w:rsidRDefault="00B5536D" w:rsidP="00764386">
            <w:pPr>
              <w:contextualSpacing/>
              <w:jc w:val="center"/>
              <w:rPr>
                <w:rFonts w:ascii="Garamond" w:hAnsi="Garamond"/>
                <w:b/>
              </w:rPr>
            </w:pPr>
            <w:r w:rsidRPr="006D7726">
              <w:rPr>
                <w:rFonts w:ascii="Garamond" w:hAnsi="Garamond"/>
                <w:b/>
              </w:rPr>
              <w:t>Percentage of Total Units</w:t>
            </w:r>
          </w:p>
        </w:tc>
      </w:tr>
      <w:tr w:rsidR="00B5536D" w:rsidTr="001B6FFE">
        <w:tc>
          <w:tcPr>
            <w:tcW w:w="3438" w:type="dxa"/>
          </w:tcPr>
          <w:p w:rsidR="00B5536D" w:rsidRDefault="00B5536D" w:rsidP="00764386">
            <w:pPr>
              <w:contextualSpacing/>
              <w:rPr>
                <w:rFonts w:ascii="Garamond" w:hAnsi="Garamond"/>
              </w:rPr>
            </w:pPr>
            <w:r>
              <w:rPr>
                <w:rFonts w:ascii="Garamond" w:hAnsi="Garamond"/>
              </w:rPr>
              <w:t>Less than 20.0%</w:t>
            </w:r>
          </w:p>
        </w:tc>
        <w:tc>
          <w:tcPr>
            <w:tcW w:w="2946" w:type="dxa"/>
          </w:tcPr>
          <w:p w:rsidR="00B5536D" w:rsidRDefault="00B5536D" w:rsidP="00764386">
            <w:pPr>
              <w:contextualSpacing/>
              <w:jc w:val="center"/>
              <w:rPr>
                <w:rFonts w:ascii="Garamond" w:hAnsi="Garamond"/>
              </w:rPr>
            </w:pPr>
            <w:r>
              <w:rPr>
                <w:rFonts w:ascii="Garamond" w:hAnsi="Garamond"/>
              </w:rPr>
              <w:t>555</w:t>
            </w:r>
          </w:p>
        </w:tc>
        <w:tc>
          <w:tcPr>
            <w:tcW w:w="3192" w:type="dxa"/>
          </w:tcPr>
          <w:p w:rsidR="00B5536D" w:rsidRDefault="00B5536D" w:rsidP="00764386">
            <w:pPr>
              <w:contextualSpacing/>
              <w:jc w:val="center"/>
              <w:rPr>
                <w:rFonts w:ascii="Garamond" w:hAnsi="Garamond"/>
              </w:rPr>
            </w:pPr>
            <w:r>
              <w:rPr>
                <w:rFonts w:ascii="Garamond" w:hAnsi="Garamond"/>
              </w:rPr>
              <w:t>34.5%</w:t>
            </w:r>
          </w:p>
        </w:tc>
      </w:tr>
      <w:tr w:rsidR="00B5536D" w:rsidTr="001B6FFE">
        <w:tc>
          <w:tcPr>
            <w:tcW w:w="3438" w:type="dxa"/>
          </w:tcPr>
          <w:p w:rsidR="00B5536D" w:rsidRDefault="00B5536D" w:rsidP="00764386">
            <w:pPr>
              <w:contextualSpacing/>
              <w:rPr>
                <w:rFonts w:ascii="Garamond" w:hAnsi="Garamond"/>
              </w:rPr>
            </w:pPr>
            <w:r>
              <w:rPr>
                <w:rFonts w:ascii="Garamond" w:hAnsi="Garamond"/>
              </w:rPr>
              <w:t>20.0 to 24.9%</w:t>
            </w:r>
          </w:p>
        </w:tc>
        <w:tc>
          <w:tcPr>
            <w:tcW w:w="2946" w:type="dxa"/>
          </w:tcPr>
          <w:p w:rsidR="00B5536D" w:rsidRDefault="00B5536D" w:rsidP="00764386">
            <w:pPr>
              <w:contextualSpacing/>
              <w:jc w:val="center"/>
              <w:rPr>
                <w:rFonts w:ascii="Garamond" w:hAnsi="Garamond"/>
              </w:rPr>
            </w:pPr>
            <w:r>
              <w:rPr>
                <w:rFonts w:ascii="Garamond" w:hAnsi="Garamond"/>
              </w:rPr>
              <w:t>330</w:t>
            </w:r>
          </w:p>
        </w:tc>
        <w:tc>
          <w:tcPr>
            <w:tcW w:w="3192" w:type="dxa"/>
          </w:tcPr>
          <w:p w:rsidR="00B5536D" w:rsidRDefault="00B5536D" w:rsidP="00764386">
            <w:pPr>
              <w:contextualSpacing/>
              <w:jc w:val="center"/>
              <w:rPr>
                <w:rFonts w:ascii="Garamond" w:hAnsi="Garamond"/>
              </w:rPr>
            </w:pPr>
            <w:r>
              <w:rPr>
                <w:rFonts w:ascii="Garamond" w:hAnsi="Garamond"/>
              </w:rPr>
              <w:t>20.5%</w:t>
            </w:r>
          </w:p>
        </w:tc>
      </w:tr>
      <w:tr w:rsidR="00B5536D" w:rsidTr="001B6FFE">
        <w:tc>
          <w:tcPr>
            <w:tcW w:w="3438" w:type="dxa"/>
          </w:tcPr>
          <w:p w:rsidR="00B5536D" w:rsidRDefault="00B5536D" w:rsidP="00764386">
            <w:pPr>
              <w:contextualSpacing/>
              <w:rPr>
                <w:rFonts w:ascii="Garamond" w:hAnsi="Garamond"/>
              </w:rPr>
            </w:pPr>
            <w:r>
              <w:rPr>
                <w:rFonts w:ascii="Garamond" w:hAnsi="Garamond"/>
              </w:rPr>
              <w:t>25.0 to 29.9%</w:t>
            </w:r>
          </w:p>
        </w:tc>
        <w:tc>
          <w:tcPr>
            <w:tcW w:w="2946" w:type="dxa"/>
          </w:tcPr>
          <w:p w:rsidR="00B5536D" w:rsidRDefault="00B5536D" w:rsidP="00764386">
            <w:pPr>
              <w:contextualSpacing/>
              <w:jc w:val="center"/>
              <w:rPr>
                <w:rFonts w:ascii="Garamond" w:hAnsi="Garamond"/>
              </w:rPr>
            </w:pPr>
            <w:r>
              <w:rPr>
                <w:rFonts w:ascii="Garamond" w:hAnsi="Garamond"/>
              </w:rPr>
              <w:t>229</w:t>
            </w:r>
          </w:p>
        </w:tc>
        <w:tc>
          <w:tcPr>
            <w:tcW w:w="3192" w:type="dxa"/>
          </w:tcPr>
          <w:p w:rsidR="00B5536D" w:rsidRDefault="00B5536D" w:rsidP="00764386">
            <w:pPr>
              <w:contextualSpacing/>
              <w:jc w:val="center"/>
              <w:rPr>
                <w:rFonts w:ascii="Garamond" w:hAnsi="Garamond"/>
              </w:rPr>
            </w:pPr>
            <w:r>
              <w:rPr>
                <w:rFonts w:ascii="Garamond" w:hAnsi="Garamond"/>
              </w:rPr>
              <w:t>14.2%</w:t>
            </w:r>
          </w:p>
        </w:tc>
      </w:tr>
      <w:tr w:rsidR="00B5536D" w:rsidTr="001B6FFE">
        <w:tc>
          <w:tcPr>
            <w:tcW w:w="3438" w:type="dxa"/>
          </w:tcPr>
          <w:p w:rsidR="00B5536D" w:rsidRDefault="00B5536D" w:rsidP="00764386">
            <w:pPr>
              <w:contextualSpacing/>
              <w:rPr>
                <w:rFonts w:ascii="Garamond" w:hAnsi="Garamond"/>
              </w:rPr>
            </w:pPr>
            <w:r>
              <w:rPr>
                <w:rFonts w:ascii="Garamond" w:hAnsi="Garamond"/>
              </w:rPr>
              <w:t>30.0 to 34.9%</w:t>
            </w:r>
          </w:p>
        </w:tc>
        <w:tc>
          <w:tcPr>
            <w:tcW w:w="2946" w:type="dxa"/>
          </w:tcPr>
          <w:p w:rsidR="00B5536D" w:rsidRDefault="00B5536D" w:rsidP="00764386">
            <w:pPr>
              <w:contextualSpacing/>
              <w:jc w:val="center"/>
              <w:rPr>
                <w:rFonts w:ascii="Garamond" w:hAnsi="Garamond"/>
              </w:rPr>
            </w:pPr>
            <w:r>
              <w:rPr>
                <w:rFonts w:ascii="Garamond" w:hAnsi="Garamond"/>
              </w:rPr>
              <w:t>107</w:t>
            </w:r>
          </w:p>
        </w:tc>
        <w:tc>
          <w:tcPr>
            <w:tcW w:w="3192" w:type="dxa"/>
          </w:tcPr>
          <w:p w:rsidR="00B5536D" w:rsidRDefault="00B5536D" w:rsidP="00764386">
            <w:pPr>
              <w:contextualSpacing/>
              <w:jc w:val="center"/>
              <w:rPr>
                <w:rFonts w:ascii="Garamond" w:hAnsi="Garamond"/>
              </w:rPr>
            </w:pPr>
            <w:r>
              <w:rPr>
                <w:rFonts w:ascii="Garamond" w:hAnsi="Garamond"/>
              </w:rPr>
              <w:t>6.6%</w:t>
            </w:r>
          </w:p>
        </w:tc>
      </w:tr>
      <w:tr w:rsidR="00B5536D" w:rsidTr="001B6FFE">
        <w:tc>
          <w:tcPr>
            <w:tcW w:w="3438" w:type="dxa"/>
          </w:tcPr>
          <w:p w:rsidR="00B5536D" w:rsidRDefault="00B5536D" w:rsidP="00764386">
            <w:pPr>
              <w:contextualSpacing/>
              <w:rPr>
                <w:rFonts w:ascii="Garamond" w:hAnsi="Garamond"/>
              </w:rPr>
            </w:pPr>
            <w:r>
              <w:rPr>
                <w:rFonts w:ascii="Garamond" w:hAnsi="Garamond"/>
              </w:rPr>
              <w:t>35.0% or more</w:t>
            </w:r>
          </w:p>
        </w:tc>
        <w:tc>
          <w:tcPr>
            <w:tcW w:w="2946" w:type="dxa"/>
          </w:tcPr>
          <w:p w:rsidR="00B5536D" w:rsidRDefault="00B5536D" w:rsidP="00764386">
            <w:pPr>
              <w:contextualSpacing/>
              <w:jc w:val="center"/>
              <w:rPr>
                <w:rFonts w:ascii="Garamond" w:hAnsi="Garamond"/>
              </w:rPr>
            </w:pPr>
            <w:r>
              <w:rPr>
                <w:rFonts w:ascii="Garamond" w:hAnsi="Garamond"/>
              </w:rPr>
              <w:t>390</w:t>
            </w:r>
          </w:p>
        </w:tc>
        <w:tc>
          <w:tcPr>
            <w:tcW w:w="3192" w:type="dxa"/>
          </w:tcPr>
          <w:p w:rsidR="00B5536D" w:rsidRDefault="00B5536D" w:rsidP="00EE571F">
            <w:pPr>
              <w:keepNext/>
              <w:contextualSpacing/>
              <w:jc w:val="center"/>
              <w:rPr>
                <w:rFonts w:ascii="Garamond" w:hAnsi="Garamond"/>
              </w:rPr>
            </w:pPr>
            <w:r>
              <w:rPr>
                <w:rFonts w:ascii="Garamond" w:hAnsi="Garamond"/>
              </w:rPr>
              <w:t>24.2%</w:t>
            </w:r>
          </w:p>
        </w:tc>
      </w:tr>
    </w:tbl>
    <w:p w:rsidR="007203B8" w:rsidRPr="00277F7A" w:rsidRDefault="00EE571F" w:rsidP="00277F7A">
      <w:pPr>
        <w:pStyle w:val="Caption"/>
      </w:pPr>
      <w:r>
        <w:t xml:space="preserve">Figure </w:t>
      </w:r>
      <w:fldSimple w:instr=" SEQ Figure \* ARABIC ">
        <w:r w:rsidR="00707511">
          <w:rPr>
            <w:noProof/>
          </w:rPr>
          <w:t>32</w:t>
        </w:r>
      </w:fldSimple>
    </w:p>
    <w:p w:rsidR="00355BC6" w:rsidRDefault="00355BC6">
      <w:pPr>
        <w:rPr>
          <w:b/>
          <w:color w:val="4E5612"/>
          <w:sz w:val="25"/>
        </w:rPr>
      </w:pPr>
      <w:r>
        <w:rPr>
          <w:b/>
          <w:color w:val="4E5612"/>
          <w:sz w:val="25"/>
        </w:rPr>
        <w:br w:type="page"/>
      </w:r>
    </w:p>
    <w:p w:rsidR="00B5536D" w:rsidRPr="00B864AC" w:rsidRDefault="00B5536D" w:rsidP="00764386">
      <w:pPr>
        <w:spacing w:line="240" w:lineRule="auto"/>
        <w:contextualSpacing/>
        <w:rPr>
          <w:b/>
          <w:color w:val="4E5612"/>
          <w:sz w:val="25"/>
        </w:rPr>
      </w:pPr>
      <w:r w:rsidRPr="00B864AC">
        <w:rPr>
          <w:b/>
          <w:color w:val="4E5612"/>
          <w:sz w:val="25"/>
        </w:rPr>
        <w:lastRenderedPageBreak/>
        <w:t xml:space="preserve">Percentage of Income Spent on Housing </w:t>
      </w:r>
      <w:proofErr w:type="gramStart"/>
      <w:r w:rsidRPr="00B864AC">
        <w:rPr>
          <w:b/>
          <w:color w:val="4E5612"/>
          <w:sz w:val="25"/>
        </w:rPr>
        <w:t>Without</w:t>
      </w:r>
      <w:proofErr w:type="gramEnd"/>
      <w:r w:rsidRPr="00B864AC">
        <w:rPr>
          <w:b/>
          <w:color w:val="4E5612"/>
          <w:sz w:val="25"/>
        </w:rPr>
        <w:t xml:space="preserve"> a Mortgage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38"/>
        <w:gridCol w:w="2946"/>
        <w:gridCol w:w="3192"/>
      </w:tblGrid>
      <w:tr w:rsidR="00B5536D" w:rsidTr="001B6FFE">
        <w:tc>
          <w:tcPr>
            <w:tcW w:w="3438" w:type="dxa"/>
          </w:tcPr>
          <w:p w:rsidR="00B5536D" w:rsidRPr="006D7726" w:rsidRDefault="00B5536D" w:rsidP="00764386">
            <w:pPr>
              <w:contextualSpacing/>
              <w:jc w:val="center"/>
              <w:rPr>
                <w:rFonts w:ascii="Garamond" w:hAnsi="Garamond"/>
                <w:b/>
              </w:rPr>
            </w:pPr>
            <w:r w:rsidRPr="006D7726">
              <w:rPr>
                <w:rFonts w:ascii="Garamond" w:hAnsi="Garamond"/>
                <w:b/>
              </w:rPr>
              <w:t>Monthly Percent</w:t>
            </w:r>
            <w:r>
              <w:rPr>
                <w:rFonts w:ascii="Garamond" w:hAnsi="Garamond"/>
                <w:b/>
              </w:rPr>
              <w:t>age</w:t>
            </w:r>
            <w:r w:rsidRPr="006D7726">
              <w:rPr>
                <w:rFonts w:ascii="Garamond" w:hAnsi="Garamond"/>
                <w:b/>
              </w:rPr>
              <w:t xml:space="preserve"> </w:t>
            </w:r>
            <w:r>
              <w:rPr>
                <w:rFonts w:ascii="Garamond" w:hAnsi="Garamond"/>
                <w:b/>
              </w:rPr>
              <w:t xml:space="preserve">of </w:t>
            </w:r>
            <w:r w:rsidRPr="006D7726">
              <w:rPr>
                <w:rFonts w:ascii="Garamond" w:hAnsi="Garamond"/>
                <w:b/>
              </w:rPr>
              <w:t>Income</w:t>
            </w:r>
          </w:p>
        </w:tc>
        <w:tc>
          <w:tcPr>
            <w:tcW w:w="2946" w:type="dxa"/>
          </w:tcPr>
          <w:p w:rsidR="00B5536D" w:rsidRPr="006D7726" w:rsidRDefault="00B5536D" w:rsidP="00764386">
            <w:pPr>
              <w:contextualSpacing/>
              <w:jc w:val="center"/>
              <w:rPr>
                <w:rFonts w:ascii="Garamond" w:hAnsi="Garamond"/>
                <w:b/>
              </w:rPr>
            </w:pPr>
            <w:r w:rsidRPr="006D7726">
              <w:rPr>
                <w:rFonts w:ascii="Garamond" w:hAnsi="Garamond"/>
                <w:b/>
              </w:rPr>
              <w:t>Number of Units</w:t>
            </w:r>
          </w:p>
        </w:tc>
        <w:tc>
          <w:tcPr>
            <w:tcW w:w="3192" w:type="dxa"/>
          </w:tcPr>
          <w:p w:rsidR="00B5536D" w:rsidRPr="006D7726" w:rsidRDefault="00B5536D" w:rsidP="00764386">
            <w:pPr>
              <w:contextualSpacing/>
              <w:jc w:val="center"/>
              <w:rPr>
                <w:rFonts w:ascii="Garamond" w:hAnsi="Garamond"/>
                <w:b/>
              </w:rPr>
            </w:pPr>
            <w:r w:rsidRPr="006D7726">
              <w:rPr>
                <w:rFonts w:ascii="Garamond" w:hAnsi="Garamond"/>
                <w:b/>
              </w:rPr>
              <w:t>Percentage of Total Units</w:t>
            </w:r>
          </w:p>
        </w:tc>
      </w:tr>
      <w:tr w:rsidR="00B5536D" w:rsidTr="001B6FFE">
        <w:tc>
          <w:tcPr>
            <w:tcW w:w="3438" w:type="dxa"/>
          </w:tcPr>
          <w:p w:rsidR="00B5536D" w:rsidRDefault="00B5536D" w:rsidP="00764386">
            <w:pPr>
              <w:contextualSpacing/>
              <w:rPr>
                <w:rFonts w:ascii="Garamond" w:hAnsi="Garamond"/>
              </w:rPr>
            </w:pPr>
            <w:r>
              <w:rPr>
                <w:rFonts w:ascii="Garamond" w:hAnsi="Garamond"/>
              </w:rPr>
              <w:t>Less than 10.0%</w:t>
            </w:r>
          </w:p>
        </w:tc>
        <w:tc>
          <w:tcPr>
            <w:tcW w:w="2946" w:type="dxa"/>
          </w:tcPr>
          <w:p w:rsidR="00B5536D" w:rsidRDefault="00B5536D" w:rsidP="00764386">
            <w:pPr>
              <w:contextualSpacing/>
              <w:jc w:val="center"/>
              <w:rPr>
                <w:rFonts w:ascii="Garamond" w:hAnsi="Garamond"/>
              </w:rPr>
            </w:pPr>
            <w:r>
              <w:rPr>
                <w:rFonts w:ascii="Garamond" w:hAnsi="Garamond"/>
              </w:rPr>
              <w:t>446</w:t>
            </w:r>
          </w:p>
        </w:tc>
        <w:tc>
          <w:tcPr>
            <w:tcW w:w="3192" w:type="dxa"/>
          </w:tcPr>
          <w:p w:rsidR="00B5536D" w:rsidRDefault="00B5536D" w:rsidP="00764386">
            <w:pPr>
              <w:contextualSpacing/>
              <w:jc w:val="center"/>
              <w:rPr>
                <w:rFonts w:ascii="Garamond" w:hAnsi="Garamond"/>
              </w:rPr>
            </w:pPr>
            <w:r>
              <w:rPr>
                <w:rFonts w:ascii="Garamond" w:hAnsi="Garamond"/>
              </w:rPr>
              <w:t>68.3%</w:t>
            </w:r>
          </w:p>
        </w:tc>
      </w:tr>
      <w:tr w:rsidR="00B5536D" w:rsidTr="001B6FFE">
        <w:tc>
          <w:tcPr>
            <w:tcW w:w="3438" w:type="dxa"/>
          </w:tcPr>
          <w:p w:rsidR="00B5536D" w:rsidRDefault="00B5536D" w:rsidP="00764386">
            <w:pPr>
              <w:contextualSpacing/>
              <w:rPr>
                <w:rFonts w:ascii="Garamond" w:hAnsi="Garamond"/>
              </w:rPr>
            </w:pPr>
            <w:r>
              <w:rPr>
                <w:rFonts w:ascii="Garamond" w:hAnsi="Garamond"/>
              </w:rPr>
              <w:t>10.0 to 14.9%</w:t>
            </w:r>
          </w:p>
        </w:tc>
        <w:tc>
          <w:tcPr>
            <w:tcW w:w="2946" w:type="dxa"/>
          </w:tcPr>
          <w:p w:rsidR="00B5536D" w:rsidRDefault="00B5536D" w:rsidP="00764386">
            <w:pPr>
              <w:contextualSpacing/>
              <w:jc w:val="center"/>
              <w:rPr>
                <w:rFonts w:ascii="Garamond" w:hAnsi="Garamond"/>
              </w:rPr>
            </w:pPr>
            <w:r>
              <w:rPr>
                <w:rFonts w:ascii="Garamond" w:hAnsi="Garamond"/>
              </w:rPr>
              <w:t>78</w:t>
            </w:r>
          </w:p>
        </w:tc>
        <w:tc>
          <w:tcPr>
            <w:tcW w:w="3192" w:type="dxa"/>
          </w:tcPr>
          <w:p w:rsidR="00B5536D" w:rsidRDefault="00B5536D" w:rsidP="00764386">
            <w:pPr>
              <w:contextualSpacing/>
              <w:jc w:val="center"/>
              <w:rPr>
                <w:rFonts w:ascii="Garamond" w:hAnsi="Garamond"/>
              </w:rPr>
            </w:pPr>
            <w:r>
              <w:rPr>
                <w:rFonts w:ascii="Garamond" w:hAnsi="Garamond"/>
              </w:rPr>
              <w:t>11.9%</w:t>
            </w:r>
          </w:p>
        </w:tc>
      </w:tr>
      <w:tr w:rsidR="00B5536D" w:rsidTr="001B6FFE">
        <w:tc>
          <w:tcPr>
            <w:tcW w:w="3438" w:type="dxa"/>
          </w:tcPr>
          <w:p w:rsidR="00B5536D" w:rsidRDefault="00B5536D" w:rsidP="00764386">
            <w:pPr>
              <w:contextualSpacing/>
              <w:rPr>
                <w:rFonts w:ascii="Garamond" w:hAnsi="Garamond"/>
              </w:rPr>
            </w:pPr>
            <w:r>
              <w:rPr>
                <w:rFonts w:ascii="Garamond" w:hAnsi="Garamond"/>
              </w:rPr>
              <w:t>15.0 to 19.9%</w:t>
            </w:r>
          </w:p>
        </w:tc>
        <w:tc>
          <w:tcPr>
            <w:tcW w:w="2946" w:type="dxa"/>
          </w:tcPr>
          <w:p w:rsidR="00B5536D" w:rsidRDefault="00B5536D" w:rsidP="00764386">
            <w:pPr>
              <w:contextualSpacing/>
              <w:jc w:val="center"/>
              <w:rPr>
                <w:rFonts w:ascii="Garamond" w:hAnsi="Garamond"/>
              </w:rPr>
            </w:pPr>
            <w:r>
              <w:rPr>
                <w:rFonts w:ascii="Garamond" w:hAnsi="Garamond"/>
              </w:rPr>
              <w:t>78</w:t>
            </w:r>
          </w:p>
        </w:tc>
        <w:tc>
          <w:tcPr>
            <w:tcW w:w="3192" w:type="dxa"/>
          </w:tcPr>
          <w:p w:rsidR="00B5536D" w:rsidRDefault="00B5536D" w:rsidP="00764386">
            <w:pPr>
              <w:contextualSpacing/>
              <w:jc w:val="center"/>
              <w:rPr>
                <w:rFonts w:ascii="Garamond" w:hAnsi="Garamond"/>
              </w:rPr>
            </w:pPr>
            <w:r>
              <w:rPr>
                <w:rFonts w:ascii="Garamond" w:hAnsi="Garamond"/>
              </w:rPr>
              <w:t>11.9%</w:t>
            </w:r>
          </w:p>
        </w:tc>
      </w:tr>
      <w:tr w:rsidR="00B5536D" w:rsidTr="001B6FFE">
        <w:tc>
          <w:tcPr>
            <w:tcW w:w="3438" w:type="dxa"/>
          </w:tcPr>
          <w:p w:rsidR="00B5536D" w:rsidRDefault="00B5536D" w:rsidP="00764386">
            <w:pPr>
              <w:contextualSpacing/>
              <w:rPr>
                <w:rFonts w:ascii="Garamond" w:hAnsi="Garamond"/>
              </w:rPr>
            </w:pPr>
            <w:r>
              <w:rPr>
                <w:rFonts w:ascii="Garamond" w:hAnsi="Garamond"/>
              </w:rPr>
              <w:t>20.0 to 24.9%</w:t>
            </w:r>
          </w:p>
        </w:tc>
        <w:tc>
          <w:tcPr>
            <w:tcW w:w="2946" w:type="dxa"/>
          </w:tcPr>
          <w:p w:rsidR="00B5536D" w:rsidRDefault="00B5536D" w:rsidP="00764386">
            <w:pPr>
              <w:contextualSpacing/>
              <w:jc w:val="center"/>
              <w:rPr>
                <w:rFonts w:ascii="Garamond" w:hAnsi="Garamond"/>
              </w:rPr>
            </w:pPr>
            <w:r>
              <w:rPr>
                <w:rFonts w:ascii="Garamond" w:hAnsi="Garamond"/>
              </w:rPr>
              <w:t>17</w:t>
            </w:r>
          </w:p>
        </w:tc>
        <w:tc>
          <w:tcPr>
            <w:tcW w:w="3192" w:type="dxa"/>
          </w:tcPr>
          <w:p w:rsidR="00B5536D" w:rsidRDefault="00B5536D" w:rsidP="00764386">
            <w:pPr>
              <w:contextualSpacing/>
              <w:jc w:val="center"/>
              <w:rPr>
                <w:rFonts w:ascii="Garamond" w:hAnsi="Garamond"/>
              </w:rPr>
            </w:pPr>
            <w:r>
              <w:rPr>
                <w:rFonts w:ascii="Garamond" w:hAnsi="Garamond"/>
              </w:rPr>
              <w:t>2.6%</w:t>
            </w:r>
          </w:p>
        </w:tc>
      </w:tr>
      <w:tr w:rsidR="00B5536D" w:rsidTr="001B6FFE">
        <w:tc>
          <w:tcPr>
            <w:tcW w:w="3438" w:type="dxa"/>
          </w:tcPr>
          <w:p w:rsidR="00B5536D" w:rsidRDefault="00B5536D" w:rsidP="00764386">
            <w:pPr>
              <w:contextualSpacing/>
              <w:rPr>
                <w:rFonts w:ascii="Garamond" w:hAnsi="Garamond"/>
              </w:rPr>
            </w:pPr>
            <w:r>
              <w:rPr>
                <w:rFonts w:ascii="Garamond" w:hAnsi="Garamond"/>
              </w:rPr>
              <w:t>25.0 to 29.9%</w:t>
            </w:r>
          </w:p>
        </w:tc>
        <w:tc>
          <w:tcPr>
            <w:tcW w:w="2946" w:type="dxa"/>
          </w:tcPr>
          <w:p w:rsidR="00B5536D" w:rsidRDefault="00B5536D" w:rsidP="00764386">
            <w:pPr>
              <w:contextualSpacing/>
              <w:jc w:val="center"/>
              <w:rPr>
                <w:rFonts w:ascii="Garamond" w:hAnsi="Garamond"/>
              </w:rPr>
            </w:pPr>
            <w:r>
              <w:rPr>
                <w:rFonts w:ascii="Garamond" w:hAnsi="Garamond"/>
              </w:rPr>
              <w:t>0</w:t>
            </w:r>
          </w:p>
        </w:tc>
        <w:tc>
          <w:tcPr>
            <w:tcW w:w="3192" w:type="dxa"/>
          </w:tcPr>
          <w:p w:rsidR="00B5536D" w:rsidRDefault="00B5536D" w:rsidP="00764386">
            <w:pPr>
              <w:contextualSpacing/>
              <w:jc w:val="center"/>
              <w:rPr>
                <w:rFonts w:ascii="Garamond" w:hAnsi="Garamond"/>
              </w:rPr>
            </w:pPr>
            <w:r>
              <w:rPr>
                <w:rFonts w:ascii="Garamond" w:hAnsi="Garamond"/>
              </w:rPr>
              <w:t>0.0%</w:t>
            </w:r>
          </w:p>
        </w:tc>
      </w:tr>
      <w:tr w:rsidR="00B5536D" w:rsidTr="001B6FFE">
        <w:tc>
          <w:tcPr>
            <w:tcW w:w="3438" w:type="dxa"/>
          </w:tcPr>
          <w:p w:rsidR="00B5536D" w:rsidRDefault="00B5536D" w:rsidP="00764386">
            <w:pPr>
              <w:contextualSpacing/>
              <w:rPr>
                <w:rFonts w:ascii="Garamond" w:hAnsi="Garamond"/>
              </w:rPr>
            </w:pPr>
            <w:r>
              <w:rPr>
                <w:rFonts w:ascii="Garamond" w:hAnsi="Garamond"/>
              </w:rPr>
              <w:t>30.0 to 34.9%</w:t>
            </w:r>
          </w:p>
        </w:tc>
        <w:tc>
          <w:tcPr>
            <w:tcW w:w="2946" w:type="dxa"/>
          </w:tcPr>
          <w:p w:rsidR="00B5536D" w:rsidRDefault="00B5536D" w:rsidP="00764386">
            <w:pPr>
              <w:contextualSpacing/>
              <w:jc w:val="center"/>
              <w:rPr>
                <w:rFonts w:ascii="Garamond" w:hAnsi="Garamond"/>
              </w:rPr>
            </w:pPr>
            <w:r>
              <w:rPr>
                <w:rFonts w:ascii="Garamond" w:hAnsi="Garamond"/>
              </w:rPr>
              <w:t>9</w:t>
            </w:r>
          </w:p>
        </w:tc>
        <w:tc>
          <w:tcPr>
            <w:tcW w:w="3192" w:type="dxa"/>
          </w:tcPr>
          <w:p w:rsidR="00B5536D" w:rsidRDefault="00B5536D" w:rsidP="00764386">
            <w:pPr>
              <w:contextualSpacing/>
              <w:jc w:val="center"/>
              <w:rPr>
                <w:rFonts w:ascii="Garamond" w:hAnsi="Garamond"/>
              </w:rPr>
            </w:pPr>
            <w:r>
              <w:rPr>
                <w:rFonts w:ascii="Garamond" w:hAnsi="Garamond"/>
              </w:rPr>
              <w:t>1.4%</w:t>
            </w:r>
          </w:p>
        </w:tc>
      </w:tr>
      <w:tr w:rsidR="00B5536D" w:rsidTr="001B6FFE">
        <w:tc>
          <w:tcPr>
            <w:tcW w:w="3438" w:type="dxa"/>
          </w:tcPr>
          <w:p w:rsidR="00B5536D" w:rsidRDefault="00B5536D" w:rsidP="00764386">
            <w:pPr>
              <w:contextualSpacing/>
              <w:rPr>
                <w:rFonts w:ascii="Garamond" w:hAnsi="Garamond"/>
              </w:rPr>
            </w:pPr>
            <w:r>
              <w:rPr>
                <w:rFonts w:ascii="Garamond" w:hAnsi="Garamond"/>
              </w:rPr>
              <w:t>35.0% or more</w:t>
            </w:r>
          </w:p>
        </w:tc>
        <w:tc>
          <w:tcPr>
            <w:tcW w:w="2946" w:type="dxa"/>
          </w:tcPr>
          <w:p w:rsidR="00B5536D" w:rsidRDefault="00B5536D" w:rsidP="00764386">
            <w:pPr>
              <w:contextualSpacing/>
              <w:jc w:val="center"/>
              <w:rPr>
                <w:rFonts w:ascii="Garamond" w:hAnsi="Garamond"/>
              </w:rPr>
            </w:pPr>
            <w:r>
              <w:rPr>
                <w:rFonts w:ascii="Garamond" w:hAnsi="Garamond"/>
              </w:rPr>
              <w:t>25</w:t>
            </w:r>
          </w:p>
        </w:tc>
        <w:tc>
          <w:tcPr>
            <w:tcW w:w="3192" w:type="dxa"/>
          </w:tcPr>
          <w:p w:rsidR="00B5536D" w:rsidRDefault="00B5536D" w:rsidP="00EE571F">
            <w:pPr>
              <w:keepNext/>
              <w:contextualSpacing/>
              <w:jc w:val="center"/>
              <w:rPr>
                <w:rFonts w:ascii="Garamond" w:hAnsi="Garamond"/>
              </w:rPr>
            </w:pPr>
            <w:r>
              <w:rPr>
                <w:rFonts w:ascii="Garamond" w:hAnsi="Garamond"/>
              </w:rPr>
              <w:t>3.8%</w:t>
            </w:r>
          </w:p>
        </w:tc>
      </w:tr>
    </w:tbl>
    <w:p w:rsidR="00B5536D" w:rsidRDefault="00EE571F" w:rsidP="00EE571F">
      <w:pPr>
        <w:pStyle w:val="Caption"/>
      </w:pPr>
      <w:r>
        <w:t xml:space="preserve">Figure </w:t>
      </w:r>
      <w:fldSimple w:instr=" SEQ Figure \* ARABIC ">
        <w:r w:rsidR="00707511">
          <w:rPr>
            <w:noProof/>
          </w:rPr>
          <w:t>33</w:t>
        </w:r>
      </w:fldSimple>
    </w:p>
    <w:p w:rsidR="001B6FFE" w:rsidRDefault="001B6FFE" w:rsidP="00764386">
      <w:pPr>
        <w:spacing w:line="240" w:lineRule="auto"/>
        <w:contextualSpacing/>
        <w:rPr>
          <w:b/>
          <w:color w:val="4E5612"/>
          <w:sz w:val="25"/>
        </w:rPr>
      </w:pPr>
    </w:p>
    <w:p w:rsidR="00B85456" w:rsidRDefault="00B5536D" w:rsidP="00764386">
      <w:pPr>
        <w:spacing w:line="240" w:lineRule="auto"/>
        <w:contextualSpacing/>
        <w:rPr>
          <w:b/>
          <w:color w:val="4E5612"/>
          <w:sz w:val="25"/>
        </w:rPr>
      </w:pPr>
      <w:r w:rsidRPr="00B864AC">
        <w:rPr>
          <w:b/>
          <w:color w:val="4E5612"/>
          <w:sz w:val="25"/>
        </w:rPr>
        <w:t>Percentage of Income Spent on Rental Housing</w:t>
      </w:r>
    </w:p>
    <w:p w:rsidR="00B5536D" w:rsidRDefault="00B85456" w:rsidP="00764386">
      <w:pPr>
        <w:spacing w:line="240" w:lineRule="auto"/>
        <w:contextualSpacing/>
      </w:pPr>
      <w:r>
        <w:t>In Rexburg, half of the people that are renting are paying more than 35% of their monthly income on rental costs.</w:t>
      </w:r>
      <w:r>
        <w:rPr>
          <w:rStyle w:val="FootnoteReference"/>
        </w:rPr>
        <w:footnoteReference w:id="41"/>
      </w:r>
      <w:r>
        <w:t xml:space="preserve"> This can be attributed to the vast number of low-income university students living in apartment complexes. </w:t>
      </w:r>
    </w:p>
    <w:p w:rsidR="00355BC6" w:rsidRPr="00B85456" w:rsidRDefault="00355BC6" w:rsidP="00764386">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38"/>
        <w:gridCol w:w="2946"/>
        <w:gridCol w:w="3192"/>
      </w:tblGrid>
      <w:tr w:rsidR="00B5536D" w:rsidTr="001B6FFE">
        <w:tc>
          <w:tcPr>
            <w:tcW w:w="3438" w:type="dxa"/>
          </w:tcPr>
          <w:p w:rsidR="00B5536D" w:rsidRPr="006D7726" w:rsidRDefault="00B5536D" w:rsidP="00764386">
            <w:pPr>
              <w:contextualSpacing/>
              <w:rPr>
                <w:rFonts w:ascii="Garamond" w:hAnsi="Garamond"/>
                <w:b/>
              </w:rPr>
            </w:pPr>
            <w:r w:rsidRPr="006D7726">
              <w:rPr>
                <w:rFonts w:ascii="Garamond" w:hAnsi="Garamond"/>
                <w:b/>
              </w:rPr>
              <w:t>Monthly Percentage of Income</w:t>
            </w:r>
          </w:p>
        </w:tc>
        <w:tc>
          <w:tcPr>
            <w:tcW w:w="2946" w:type="dxa"/>
          </w:tcPr>
          <w:p w:rsidR="00B5536D" w:rsidRPr="006D7726" w:rsidRDefault="00B5536D" w:rsidP="00764386">
            <w:pPr>
              <w:contextualSpacing/>
              <w:jc w:val="center"/>
              <w:rPr>
                <w:rFonts w:ascii="Garamond" w:hAnsi="Garamond"/>
                <w:b/>
              </w:rPr>
            </w:pPr>
            <w:r w:rsidRPr="006D7726">
              <w:rPr>
                <w:rFonts w:ascii="Garamond" w:hAnsi="Garamond"/>
                <w:b/>
              </w:rPr>
              <w:t>Number of Units</w:t>
            </w:r>
          </w:p>
        </w:tc>
        <w:tc>
          <w:tcPr>
            <w:tcW w:w="3192" w:type="dxa"/>
          </w:tcPr>
          <w:p w:rsidR="00B5536D" w:rsidRPr="006D7726" w:rsidRDefault="00B5536D" w:rsidP="00764386">
            <w:pPr>
              <w:contextualSpacing/>
              <w:jc w:val="center"/>
              <w:rPr>
                <w:rFonts w:ascii="Garamond" w:hAnsi="Garamond"/>
                <w:b/>
              </w:rPr>
            </w:pPr>
            <w:r w:rsidRPr="006D7726">
              <w:rPr>
                <w:rFonts w:ascii="Garamond" w:hAnsi="Garamond"/>
                <w:b/>
              </w:rPr>
              <w:t>Percentage of Total Units</w:t>
            </w:r>
          </w:p>
        </w:tc>
      </w:tr>
      <w:tr w:rsidR="00B5536D" w:rsidTr="001B6FFE">
        <w:tc>
          <w:tcPr>
            <w:tcW w:w="3438" w:type="dxa"/>
          </w:tcPr>
          <w:p w:rsidR="00B5536D" w:rsidRDefault="00B5536D" w:rsidP="00764386">
            <w:pPr>
              <w:contextualSpacing/>
              <w:rPr>
                <w:rFonts w:ascii="Garamond" w:hAnsi="Garamond"/>
              </w:rPr>
            </w:pPr>
            <w:r>
              <w:rPr>
                <w:rFonts w:ascii="Garamond" w:hAnsi="Garamond"/>
              </w:rPr>
              <w:t>Less than 15.0%</w:t>
            </w:r>
          </w:p>
        </w:tc>
        <w:tc>
          <w:tcPr>
            <w:tcW w:w="2946" w:type="dxa"/>
          </w:tcPr>
          <w:p w:rsidR="00B5536D" w:rsidRDefault="00B5536D" w:rsidP="00764386">
            <w:pPr>
              <w:contextualSpacing/>
              <w:jc w:val="center"/>
              <w:rPr>
                <w:rFonts w:ascii="Garamond" w:hAnsi="Garamond"/>
              </w:rPr>
            </w:pPr>
            <w:r>
              <w:rPr>
                <w:rFonts w:ascii="Garamond" w:hAnsi="Garamond"/>
              </w:rPr>
              <w:t>432</w:t>
            </w:r>
          </w:p>
        </w:tc>
        <w:tc>
          <w:tcPr>
            <w:tcW w:w="3192" w:type="dxa"/>
          </w:tcPr>
          <w:p w:rsidR="00B5536D" w:rsidRDefault="00B5536D" w:rsidP="00764386">
            <w:pPr>
              <w:contextualSpacing/>
              <w:jc w:val="center"/>
              <w:rPr>
                <w:rFonts w:ascii="Garamond" w:hAnsi="Garamond"/>
              </w:rPr>
            </w:pPr>
            <w:r>
              <w:rPr>
                <w:rFonts w:ascii="Garamond" w:hAnsi="Garamond"/>
              </w:rPr>
              <w:t>10.5%</w:t>
            </w:r>
          </w:p>
        </w:tc>
      </w:tr>
      <w:tr w:rsidR="00B5536D" w:rsidTr="001B6FFE">
        <w:tc>
          <w:tcPr>
            <w:tcW w:w="3438" w:type="dxa"/>
          </w:tcPr>
          <w:p w:rsidR="00B5536D" w:rsidRDefault="00B5536D" w:rsidP="00764386">
            <w:pPr>
              <w:contextualSpacing/>
              <w:rPr>
                <w:rFonts w:ascii="Garamond" w:hAnsi="Garamond"/>
              </w:rPr>
            </w:pPr>
            <w:r>
              <w:rPr>
                <w:rFonts w:ascii="Garamond" w:hAnsi="Garamond"/>
              </w:rPr>
              <w:t>15.0 to 19.9%</w:t>
            </w:r>
          </w:p>
        </w:tc>
        <w:tc>
          <w:tcPr>
            <w:tcW w:w="2946" w:type="dxa"/>
          </w:tcPr>
          <w:p w:rsidR="00B5536D" w:rsidRDefault="00B5536D" w:rsidP="00764386">
            <w:pPr>
              <w:contextualSpacing/>
              <w:jc w:val="center"/>
              <w:rPr>
                <w:rFonts w:ascii="Garamond" w:hAnsi="Garamond"/>
              </w:rPr>
            </w:pPr>
            <w:r>
              <w:rPr>
                <w:rFonts w:ascii="Garamond" w:hAnsi="Garamond"/>
              </w:rPr>
              <w:t>386</w:t>
            </w:r>
          </w:p>
        </w:tc>
        <w:tc>
          <w:tcPr>
            <w:tcW w:w="3192" w:type="dxa"/>
          </w:tcPr>
          <w:p w:rsidR="00B5536D" w:rsidRDefault="00B5536D" w:rsidP="00764386">
            <w:pPr>
              <w:contextualSpacing/>
              <w:jc w:val="center"/>
              <w:rPr>
                <w:rFonts w:ascii="Garamond" w:hAnsi="Garamond"/>
              </w:rPr>
            </w:pPr>
            <w:r>
              <w:rPr>
                <w:rFonts w:ascii="Garamond" w:hAnsi="Garamond"/>
              </w:rPr>
              <w:t>9.3%</w:t>
            </w:r>
          </w:p>
        </w:tc>
      </w:tr>
      <w:tr w:rsidR="00B5536D" w:rsidTr="001B6FFE">
        <w:tc>
          <w:tcPr>
            <w:tcW w:w="3438" w:type="dxa"/>
          </w:tcPr>
          <w:p w:rsidR="00B5536D" w:rsidRDefault="00B5536D" w:rsidP="00764386">
            <w:pPr>
              <w:contextualSpacing/>
              <w:rPr>
                <w:rFonts w:ascii="Garamond" w:hAnsi="Garamond"/>
              </w:rPr>
            </w:pPr>
            <w:r>
              <w:rPr>
                <w:rFonts w:ascii="Garamond" w:hAnsi="Garamond"/>
              </w:rPr>
              <w:t>20.0 to 24.9%</w:t>
            </w:r>
          </w:p>
        </w:tc>
        <w:tc>
          <w:tcPr>
            <w:tcW w:w="2946" w:type="dxa"/>
          </w:tcPr>
          <w:p w:rsidR="00B5536D" w:rsidRDefault="00B5536D" w:rsidP="00764386">
            <w:pPr>
              <w:contextualSpacing/>
              <w:jc w:val="center"/>
              <w:rPr>
                <w:rFonts w:ascii="Garamond" w:hAnsi="Garamond"/>
              </w:rPr>
            </w:pPr>
            <w:r>
              <w:rPr>
                <w:rFonts w:ascii="Garamond" w:hAnsi="Garamond"/>
              </w:rPr>
              <w:t>393</w:t>
            </w:r>
          </w:p>
        </w:tc>
        <w:tc>
          <w:tcPr>
            <w:tcW w:w="3192" w:type="dxa"/>
          </w:tcPr>
          <w:p w:rsidR="00B5536D" w:rsidRDefault="00B5536D" w:rsidP="00764386">
            <w:pPr>
              <w:contextualSpacing/>
              <w:jc w:val="center"/>
              <w:rPr>
                <w:rFonts w:ascii="Garamond" w:hAnsi="Garamond"/>
              </w:rPr>
            </w:pPr>
            <w:r>
              <w:rPr>
                <w:rFonts w:ascii="Garamond" w:hAnsi="Garamond"/>
              </w:rPr>
              <w:t>9.5%</w:t>
            </w:r>
          </w:p>
        </w:tc>
      </w:tr>
      <w:tr w:rsidR="00B5536D" w:rsidTr="001B6FFE">
        <w:tc>
          <w:tcPr>
            <w:tcW w:w="3438" w:type="dxa"/>
          </w:tcPr>
          <w:p w:rsidR="00B5536D" w:rsidRDefault="00B5536D" w:rsidP="00764386">
            <w:pPr>
              <w:contextualSpacing/>
              <w:rPr>
                <w:rFonts w:ascii="Garamond" w:hAnsi="Garamond"/>
              </w:rPr>
            </w:pPr>
            <w:r>
              <w:rPr>
                <w:rFonts w:ascii="Garamond" w:hAnsi="Garamond"/>
              </w:rPr>
              <w:t>25.0 to 29.9%</w:t>
            </w:r>
          </w:p>
        </w:tc>
        <w:tc>
          <w:tcPr>
            <w:tcW w:w="2946" w:type="dxa"/>
          </w:tcPr>
          <w:p w:rsidR="00B5536D" w:rsidRDefault="00B5536D" w:rsidP="00764386">
            <w:pPr>
              <w:contextualSpacing/>
              <w:jc w:val="center"/>
              <w:rPr>
                <w:rFonts w:ascii="Garamond" w:hAnsi="Garamond"/>
              </w:rPr>
            </w:pPr>
            <w:r>
              <w:rPr>
                <w:rFonts w:ascii="Garamond" w:hAnsi="Garamond"/>
              </w:rPr>
              <w:t>302</w:t>
            </w:r>
          </w:p>
        </w:tc>
        <w:tc>
          <w:tcPr>
            <w:tcW w:w="3192" w:type="dxa"/>
          </w:tcPr>
          <w:p w:rsidR="00B5536D" w:rsidRDefault="00B5536D" w:rsidP="00764386">
            <w:pPr>
              <w:contextualSpacing/>
              <w:jc w:val="center"/>
              <w:rPr>
                <w:rFonts w:ascii="Garamond" w:hAnsi="Garamond"/>
              </w:rPr>
            </w:pPr>
            <w:r>
              <w:rPr>
                <w:rFonts w:ascii="Garamond" w:hAnsi="Garamond"/>
              </w:rPr>
              <w:t>7.3%</w:t>
            </w:r>
          </w:p>
        </w:tc>
      </w:tr>
      <w:tr w:rsidR="00B5536D" w:rsidTr="001B6FFE">
        <w:tc>
          <w:tcPr>
            <w:tcW w:w="3438" w:type="dxa"/>
          </w:tcPr>
          <w:p w:rsidR="00B5536D" w:rsidRDefault="00B5536D" w:rsidP="00764386">
            <w:pPr>
              <w:contextualSpacing/>
              <w:rPr>
                <w:rFonts w:ascii="Garamond" w:hAnsi="Garamond"/>
              </w:rPr>
            </w:pPr>
            <w:r>
              <w:rPr>
                <w:rFonts w:ascii="Garamond" w:hAnsi="Garamond"/>
              </w:rPr>
              <w:t>30.0 to 34.9%</w:t>
            </w:r>
          </w:p>
        </w:tc>
        <w:tc>
          <w:tcPr>
            <w:tcW w:w="2946" w:type="dxa"/>
          </w:tcPr>
          <w:p w:rsidR="00B5536D" w:rsidRDefault="00B5536D" w:rsidP="00764386">
            <w:pPr>
              <w:contextualSpacing/>
              <w:jc w:val="center"/>
              <w:rPr>
                <w:rFonts w:ascii="Garamond" w:hAnsi="Garamond"/>
              </w:rPr>
            </w:pPr>
            <w:r>
              <w:rPr>
                <w:rFonts w:ascii="Garamond" w:hAnsi="Garamond"/>
              </w:rPr>
              <w:t>562</w:t>
            </w:r>
          </w:p>
        </w:tc>
        <w:tc>
          <w:tcPr>
            <w:tcW w:w="3192" w:type="dxa"/>
          </w:tcPr>
          <w:p w:rsidR="00B5536D" w:rsidRDefault="00B5536D" w:rsidP="00764386">
            <w:pPr>
              <w:contextualSpacing/>
              <w:jc w:val="center"/>
              <w:rPr>
                <w:rFonts w:ascii="Garamond" w:hAnsi="Garamond"/>
              </w:rPr>
            </w:pPr>
            <w:r>
              <w:rPr>
                <w:rFonts w:ascii="Garamond" w:hAnsi="Garamond"/>
              </w:rPr>
              <w:t>13.6%</w:t>
            </w:r>
          </w:p>
        </w:tc>
      </w:tr>
      <w:tr w:rsidR="00B5536D" w:rsidTr="001B6FFE">
        <w:tc>
          <w:tcPr>
            <w:tcW w:w="3438" w:type="dxa"/>
          </w:tcPr>
          <w:p w:rsidR="00B5536D" w:rsidRDefault="00B5536D" w:rsidP="00764386">
            <w:pPr>
              <w:contextualSpacing/>
              <w:rPr>
                <w:rFonts w:ascii="Garamond" w:hAnsi="Garamond"/>
              </w:rPr>
            </w:pPr>
            <w:r>
              <w:rPr>
                <w:rFonts w:ascii="Garamond" w:hAnsi="Garamond"/>
              </w:rPr>
              <w:t>35.0% or more</w:t>
            </w:r>
          </w:p>
        </w:tc>
        <w:tc>
          <w:tcPr>
            <w:tcW w:w="2946" w:type="dxa"/>
          </w:tcPr>
          <w:p w:rsidR="00B5536D" w:rsidRDefault="00B5536D" w:rsidP="00764386">
            <w:pPr>
              <w:contextualSpacing/>
              <w:jc w:val="center"/>
              <w:rPr>
                <w:rFonts w:ascii="Garamond" w:hAnsi="Garamond"/>
              </w:rPr>
            </w:pPr>
            <w:r>
              <w:rPr>
                <w:rFonts w:ascii="Garamond" w:hAnsi="Garamond"/>
              </w:rPr>
              <w:t>2,054</w:t>
            </w:r>
          </w:p>
        </w:tc>
        <w:tc>
          <w:tcPr>
            <w:tcW w:w="3192" w:type="dxa"/>
          </w:tcPr>
          <w:p w:rsidR="00B5536D" w:rsidRDefault="00B5536D" w:rsidP="00764386">
            <w:pPr>
              <w:contextualSpacing/>
              <w:jc w:val="center"/>
              <w:rPr>
                <w:rFonts w:ascii="Garamond" w:hAnsi="Garamond"/>
              </w:rPr>
            </w:pPr>
            <w:r>
              <w:rPr>
                <w:rFonts w:ascii="Garamond" w:hAnsi="Garamond"/>
              </w:rPr>
              <w:t>49.7%</w:t>
            </w:r>
          </w:p>
        </w:tc>
      </w:tr>
      <w:tr w:rsidR="00B5536D" w:rsidTr="001B6FFE">
        <w:tc>
          <w:tcPr>
            <w:tcW w:w="3438" w:type="dxa"/>
          </w:tcPr>
          <w:p w:rsidR="00B5536D" w:rsidRDefault="00B5536D" w:rsidP="00764386">
            <w:pPr>
              <w:contextualSpacing/>
              <w:rPr>
                <w:rFonts w:ascii="Garamond" w:hAnsi="Garamond"/>
              </w:rPr>
            </w:pPr>
            <w:r>
              <w:rPr>
                <w:rFonts w:ascii="Garamond" w:hAnsi="Garamond"/>
              </w:rPr>
              <w:t>Not Computed</w:t>
            </w:r>
          </w:p>
        </w:tc>
        <w:tc>
          <w:tcPr>
            <w:tcW w:w="2946" w:type="dxa"/>
          </w:tcPr>
          <w:p w:rsidR="00B5536D" w:rsidRDefault="00B5536D" w:rsidP="00764386">
            <w:pPr>
              <w:contextualSpacing/>
              <w:jc w:val="center"/>
              <w:rPr>
                <w:rFonts w:ascii="Garamond" w:hAnsi="Garamond"/>
              </w:rPr>
            </w:pPr>
            <w:r>
              <w:rPr>
                <w:rFonts w:ascii="Garamond" w:hAnsi="Garamond"/>
              </w:rPr>
              <w:t>178</w:t>
            </w:r>
          </w:p>
        </w:tc>
        <w:tc>
          <w:tcPr>
            <w:tcW w:w="3192" w:type="dxa"/>
          </w:tcPr>
          <w:p w:rsidR="00B5536D" w:rsidRDefault="00B5536D" w:rsidP="00EE571F">
            <w:pPr>
              <w:keepNext/>
              <w:contextualSpacing/>
              <w:jc w:val="center"/>
              <w:rPr>
                <w:rFonts w:ascii="Garamond" w:hAnsi="Garamond"/>
              </w:rPr>
            </w:pPr>
            <w:r>
              <w:rPr>
                <w:rFonts w:ascii="Garamond" w:hAnsi="Garamond"/>
              </w:rPr>
              <w:t>X%</w:t>
            </w:r>
          </w:p>
        </w:tc>
      </w:tr>
    </w:tbl>
    <w:p w:rsidR="00B5536D" w:rsidRDefault="00EE571F" w:rsidP="00EE571F">
      <w:pPr>
        <w:pStyle w:val="Caption"/>
      </w:pPr>
      <w:r>
        <w:t xml:space="preserve">Figure </w:t>
      </w:r>
      <w:fldSimple w:instr=" SEQ Figure \* ARABIC ">
        <w:r w:rsidR="00707511">
          <w:rPr>
            <w:noProof/>
          </w:rPr>
          <w:t>34</w:t>
        </w:r>
      </w:fldSimple>
    </w:p>
    <w:p w:rsidR="00B5536D" w:rsidRPr="00B864AC" w:rsidRDefault="00B5536D" w:rsidP="00764386">
      <w:pPr>
        <w:spacing w:line="240" w:lineRule="auto"/>
        <w:contextualSpacing/>
        <w:rPr>
          <w:b/>
          <w:color w:val="4E5612"/>
          <w:sz w:val="25"/>
        </w:rPr>
      </w:pPr>
      <w:r w:rsidRPr="00B864AC">
        <w:rPr>
          <w:b/>
          <w:color w:val="4E5612"/>
          <w:sz w:val="25"/>
        </w:rPr>
        <w:t>Available Housing</w:t>
      </w:r>
    </w:p>
    <w:p w:rsidR="00B5536D" w:rsidRPr="00CE6657" w:rsidRDefault="00B5536D" w:rsidP="00764386">
      <w:pPr>
        <w:spacing w:line="240" w:lineRule="auto"/>
        <w:contextualSpacing/>
      </w:pPr>
      <w:r>
        <w:t>According to the Snake River Multiple Listing Service, the average listing price for the City of Rexburg is 227,965. The median listing price is $196,000.</w:t>
      </w:r>
      <w:r>
        <w:rPr>
          <w:rStyle w:val="FootnoteReference"/>
        </w:rPr>
        <w:footnoteReference w:id="42"/>
      </w:r>
      <w:r>
        <w:t xml:space="preserve"> The housing availability in Rexburg is greatly influenced by BYU-</w:t>
      </w:r>
      <w:proofErr w:type="gramStart"/>
      <w:r>
        <w:t>I’s</w:t>
      </w:r>
      <w:proofErr w:type="gramEnd"/>
      <w:r>
        <w:t xml:space="preserve"> housing requirements for students. Where most universities are less stringent on where students live, BYU-I requires students to live in approved housing. Therefore, a great portion of the population of Rexburg isn’t in the market to buy a house because they are required to live in student housing.</w:t>
      </w:r>
    </w:p>
    <w:p w:rsidR="00AA2CEB" w:rsidRDefault="00AA2CEB">
      <w:pPr>
        <w:rPr>
          <w:rFonts w:eastAsiaTheme="majorEastAsia" w:cstheme="majorBidi"/>
          <w:b/>
          <w:bCs/>
          <w:color w:val="4E5612"/>
          <w:sz w:val="26"/>
          <w:szCs w:val="26"/>
        </w:rPr>
      </w:pPr>
      <w:r>
        <w:rPr>
          <w:color w:val="4E5612"/>
        </w:rPr>
        <w:br w:type="page"/>
      </w:r>
    </w:p>
    <w:p w:rsidR="00B85456" w:rsidRDefault="00B5536D" w:rsidP="00A77B10">
      <w:pPr>
        <w:pStyle w:val="Heading2"/>
        <w:spacing w:line="240" w:lineRule="auto"/>
        <w:contextualSpacing/>
        <w:rPr>
          <w:color w:val="4E5612"/>
        </w:rPr>
      </w:pPr>
      <w:bookmarkStart w:id="12" w:name="_Toc329954138"/>
      <w:r w:rsidRPr="00B85456">
        <w:rPr>
          <w:color w:val="4E5612"/>
        </w:rPr>
        <w:lastRenderedPageBreak/>
        <w:t>Ashton, Idaho</w:t>
      </w:r>
      <w:bookmarkEnd w:id="12"/>
    </w:p>
    <w:p w:rsidR="00B5536D" w:rsidRPr="00B85456" w:rsidRDefault="00B5536D" w:rsidP="00A77B10">
      <w:pPr>
        <w:spacing w:line="240" w:lineRule="auto"/>
        <w:contextualSpacing/>
      </w:pPr>
    </w:p>
    <w:p w:rsidR="00B5536D" w:rsidRPr="00B864AC" w:rsidRDefault="00B5536D" w:rsidP="00A77B10">
      <w:pPr>
        <w:spacing w:line="240" w:lineRule="auto"/>
        <w:contextualSpacing/>
        <w:rPr>
          <w:b/>
          <w:color w:val="4E5612"/>
          <w:sz w:val="25"/>
        </w:rPr>
      </w:pPr>
      <w:r w:rsidRPr="00B864AC">
        <w:rPr>
          <w:b/>
          <w:color w:val="4E5612"/>
          <w:sz w:val="25"/>
        </w:rPr>
        <w:t>Population</w:t>
      </w:r>
    </w:p>
    <w:p w:rsidR="00B5536D" w:rsidRPr="00B40DBA" w:rsidRDefault="00B5536D" w:rsidP="00764386">
      <w:pPr>
        <w:spacing w:line="240" w:lineRule="auto"/>
        <w:contextualSpacing/>
      </w:pPr>
      <w:r w:rsidRPr="00B40DBA">
        <w:t xml:space="preserve">According to the 2010 United Census report, Ashton Idaho had a population of 1,127.  The male population was 553 with a median age of 32.8 years.  Female population was 574 with median age of 33.9 years.  85% of the population is white.  31.2% of population is under 18 years old.  This community is agricultural based with some tourism. There are a lot of recreational businesses in this town located at the base of Island Park. </w:t>
      </w:r>
      <w:r w:rsidRPr="00B40DBA">
        <w:rPr>
          <w:rStyle w:val="FootnoteReference"/>
        </w:rPr>
        <w:footnoteReference w:id="43"/>
      </w:r>
    </w:p>
    <w:p w:rsidR="00B5536D" w:rsidRPr="00B40DBA" w:rsidRDefault="00B5536D" w:rsidP="00764386">
      <w:pPr>
        <w:spacing w:line="240" w:lineRule="auto"/>
        <w:contextualSpacing/>
      </w:pPr>
    </w:p>
    <w:p w:rsidR="00B5536D" w:rsidRPr="00B864AC" w:rsidRDefault="00B5536D" w:rsidP="00764386">
      <w:pPr>
        <w:spacing w:line="240" w:lineRule="auto"/>
        <w:contextualSpacing/>
        <w:rPr>
          <w:b/>
          <w:color w:val="4E5612"/>
          <w:sz w:val="25"/>
        </w:rPr>
      </w:pPr>
      <w:r w:rsidRPr="00B864AC">
        <w:rPr>
          <w:b/>
          <w:color w:val="4E5612"/>
          <w:sz w:val="25"/>
        </w:rPr>
        <w:t>Age</w:t>
      </w:r>
    </w:p>
    <w:p w:rsidR="00B5536D" w:rsidRPr="00B40DBA" w:rsidRDefault="00B5536D" w:rsidP="00764386">
      <w:pPr>
        <w:spacing w:line="240" w:lineRule="auto"/>
        <w:contextualSpacing/>
      </w:pPr>
      <w:r w:rsidRPr="00B40DBA">
        <w:t>In the 2010 Census report, Aston had a median age of 33.4 years. Below is the age breakdown of the county population.</w:t>
      </w:r>
      <w:bookmarkStart w:id="13" w:name="OLE_LINK1"/>
      <w:r w:rsidRPr="00B40DBA">
        <w:t xml:space="preserve"> </w:t>
      </w:r>
      <w:r w:rsidRPr="00B40DBA">
        <w:footnoteReference w:id="44"/>
      </w:r>
      <w:bookmarkEnd w:id="13"/>
      <w:r w:rsidRPr="00B40DBA">
        <w:t xml:space="preserve"> Ashton seems to have a slightly skewed younger based population under 19.  </w:t>
      </w:r>
    </w:p>
    <w:p w:rsidR="00B5536D" w:rsidRPr="00B40DBA" w:rsidRDefault="00B5536D" w:rsidP="00764386">
      <w:pPr>
        <w:spacing w:line="240" w:lineRule="auto"/>
        <w:contextualSpacing/>
      </w:pPr>
    </w:p>
    <w:tbl>
      <w:tblPr>
        <w:tblW w:w="2120" w:type="dxa"/>
        <w:jc w:val="center"/>
        <w:tblInd w:w="2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060"/>
      </w:tblGrid>
      <w:tr w:rsidR="00B5536D" w:rsidRPr="00B40DBA" w:rsidTr="001B6FFE">
        <w:trPr>
          <w:trHeight w:val="240"/>
          <w:jc w:val="center"/>
        </w:trPr>
        <w:tc>
          <w:tcPr>
            <w:tcW w:w="2120" w:type="dxa"/>
            <w:gridSpan w:val="2"/>
            <w:shd w:val="clear" w:color="auto" w:fill="auto"/>
            <w:noWrap/>
            <w:vAlign w:val="bottom"/>
          </w:tcPr>
          <w:p w:rsidR="00B5536D" w:rsidRPr="00B40DBA" w:rsidRDefault="00B5536D" w:rsidP="00764386">
            <w:pPr>
              <w:spacing w:line="240" w:lineRule="auto"/>
              <w:contextualSpacing/>
              <w:jc w:val="center"/>
              <w:rPr>
                <w:szCs w:val="20"/>
              </w:rPr>
            </w:pPr>
            <w:r w:rsidRPr="00B40DBA">
              <w:rPr>
                <w:szCs w:val="20"/>
              </w:rPr>
              <w:t>Ashton</w:t>
            </w:r>
          </w:p>
        </w:tc>
      </w:tr>
      <w:tr w:rsidR="00B5536D" w:rsidRPr="00B40DBA" w:rsidTr="001B6FFE">
        <w:trPr>
          <w:trHeight w:val="240"/>
          <w:jc w:val="center"/>
        </w:trPr>
        <w:tc>
          <w:tcPr>
            <w:tcW w:w="1060" w:type="dxa"/>
            <w:shd w:val="clear" w:color="auto" w:fill="auto"/>
            <w:noWrap/>
            <w:vAlign w:val="bottom"/>
          </w:tcPr>
          <w:p w:rsidR="00B5536D" w:rsidRPr="00B40DBA" w:rsidRDefault="00B5536D" w:rsidP="00764386">
            <w:pPr>
              <w:spacing w:line="240" w:lineRule="auto"/>
              <w:contextualSpacing/>
              <w:rPr>
                <w:szCs w:val="20"/>
              </w:rPr>
            </w:pPr>
            <w:r w:rsidRPr="00B40DBA">
              <w:rPr>
                <w:szCs w:val="20"/>
              </w:rPr>
              <w:t>Age</w:t>
            </w:r>
          </w:p>
        </w:tc>
        <w:tc>
          <w:tcPr>
            <w:tcW w:w="1060" w:type="dxa"/>
            <w:shd w:val="clear" w:color="auto" w:fill="auto"/>
            <w:noWrap/>
            <w:vAlign w:val="bottom"/>
          </w:tcPr>
          <w:p w:rsidR="00B5536D" w:rsidRPr="00B40DBA" w:rsidRDefault="00B5536D" w:rsidP="00764386">
            <w:pPr>
              <w:spacing w:line="240" w:lineRule="auto"/>
              <w:contextualSpacing/>
              <w:rPr>
                <w:szCs w:val="20"/>
              </w:rPr>
            </w:pPr>
            <w:r w:rsidRPr="00B40DBA">
              <w:rPr>
                <w:szCs w:val="20"/>
              </w:rPr>
              <w:t>Number</w:t>
            </w:r>
          </w:p>
        </w:tc>
      </w:tr>
      <w:tr w:rsidR="00B5536D" w:rsidRPr="00B40DBA" w:rsidTr="001B6FFE">
        <w:trPr>
          <w:trHeight w:val="240"/>
          <w:jc w:val="center"/>
        </w:trPr>
        <w:tc>
          <w:tcPr>
            <w:tcW w:w="1060" w:type="dxa"/>
            <w:shd w:val="clear" w:color="auto" w:fill="auto"/>
            <w:noWrap/>
            <w:vAlign w:val="bottom"/>
          </w:tcPr>
          <w:p w:rsidR="00B5536D" w:rsidRPr="00B40DBA" w:rsidRDefault="00B5536D" w:rsidP="00764386">
            <w:pPr>
              <w:spacing w:line="240" w:lineRule="auto"/>
              <w:contextualSpacing/>
              <w:rPr>
                <w:szCs w:val="20"/>
              </w:rPr>
            </w:pPr>
            <w:r w:rsidRPr="00B40DBA">
              <w:rPr>
                <w:szCs w:val="20"/>
              </w:rPr>
              <w:t>Under 9</w:t>
            </w:r>
          </w:p>
        </w:tc>
        <w:tc>
          <w:tcPr>
            <w:tcW w:w="1060" w:type="dxa"/>
            <w:shd w:val="clear" w:color="auto" w:fill="auto"/>
            <w:noWrap/>
            <w:vAlign w:val="bottom"/>
          </w:tcPr>
          <w:p w:rsidR="00B5536D" w:rsidRPr="00B40DBA" w:rsidRDefault="00B5536D" w:rsidP="00764386">
            <w:pPr>
              <w:spacing w:line="240" w:lineRule="auto"/>
              <w:contextualSpacing/>
              <w:jc w:val="right"/>
              <w:rPr>
                <w:szCs w:val="20"/>
              </w:rPr>
            </w:pPr>
            <w:r w:rsidRPr="00B40DBA">
              <w:rPr>
                <w:szCs w:val="20"/>
              </w:rPr>
              <w:t>219</w:t>
            </w:r>
          </w:p>
        </w:tc>
      </w:tr>
      <w:tr w:rsidR="00B5536D" w:rsidRPr="00B40DBA" w:rsidTr="001B6FFE">
        <w:trPr>
          <w:trHeight w:val="240"/>
          <w:jc w:val="center"/>
        </w:trPr>
        <w:tc>
          <w:tcPr>
            <w:tcW w:w="1060" w:type="dxa"/>
            <w:shd w:val="clear" w:color="auto" w:fill="auto"/>
            <w:noWrap/>
            <w:vAlign w:val="bottom"/>
          </w:tcPr>
          <w:p w:rsidR="00B5536D" w:rsidRPr="00B40DBA" w:rsidRDefault="00B5536D" w:rsidP="00764386">
            <w:pPr>
              <w:spacing w:line="240" w:lineRule="auto"/>
              <w:contextualSpacing/>
              <w:rPr>
                <w:szCs w:val="20"/>
              </w:rPr>
            </w:pPr>
            <w:r w:rsidRPr="00B40DBA">
              <w:rPr>
                <w:szCs w:val="20"/>
              </w:rPr>
              <w:t>10-19</w:t>
            </w:r>
          </w:p>
        </w:tc>
        <w:tc>
          <w:tcPr>
            <w:tcW w:w="1060" w:type="dxa"/>
            <w:shd w:val="clear" w:color="auto" w:fill="auto"/>
            <w:noWrap/>
            <w:vAlign w:val="bottom"/>
          </w:tcPr>
          <w:p w:rsidR="00B5536D" w:rsidRPr="00B40DBA" w:rsidRDefault="00B5536D" w:rsidP="00764386">
            <w:pPr>
              <w:spacing w:line="240" w:lineRule="auto"/>
              <w:contextualSpacing/>
              <w:jc w:val="right"/>
              <w:rPr>
                <w:szCs w:val="20"/>
              </w:rPr>
            </w:pPr>
            <w:r w:rsidRPr="00B40DBA">
              <w:rPr>
                <w:szCs w:val="20"/>
              </w:rPr>
              <w:t>166</w:t>
            </w:r>
          </w:p>
        </w:tc>
      </w:tr>
      <w:tr w:rsidR="00B5536D" w:rsidRPr="00B40DBA" w:rsidTr="001B6FFE">
        <w:trPr>
          <w:trHeight w:val="240"/>
          <w:jc w:val="center"/>
        </w:trPr>
        <w:tc>
          <w:tcPr>
            <w:tcW w:w="1060" w:type="dxa"/>
            <w:shd w:val="clear" w:color="auto" w:fill="auto"/>
            <w:noWrap/>
            <w:vAlign w:val="bottom"/>
          </w:tcPr>
          <w:p w:rsidR="00B5536D" w:rsidRPr="00B40DBA" w:rsidRDefault="00B5536D" w:rsidP="00764386">
            <w:pPr>
              <w:spacing w:line="240" w:lineRule="auto"/>
              <w:contextualSpacing/>
              <w:rPr>
                <w:szCs w:val="20"/>
              </w:rPr>
            </w:pPr>
            <w:r w:rsidRPr="00B40DBA">
              <w:rPr>
                <w:szCs w:val="20"/>
              </w:rPr>
              <w:t>20-29</w:t>
            </w:r>
          </w:p>
        </w:tc>
        <w:tc>
          <w:tcPr>
            <w:tcW w:w="1060" w:type="dxa"/>
            <w:shd w:val="clear" w:color="auto" w:fill="auto"/>
            <w:noWrap/>
            <w:vAlign w:val="bottom"/>
          </w:tcPr>
          <w:p w:rsidR="00B5536D" w:rsidRPr="00B40DBA" w:rsidRDefault="00B5536D" w:rsidP="00764386">
            <w:pPr>
              <w:spacing w:line="240" w:lineRule="auto"/>
              <w:contextualSpacing/>
              <w:jc w:val="right"/>
              <w:rPr>
                <w:szCs w:val="20"/>
              </w:rPr>
            </w:pPr>
            <w:r w:rsidRPr="00B40DBA">
              <w:rPr>
                <w:szCs w:val="20"/>
              </w:rPr>
              <w:t>122</w:t>
            </w:r>
          </w:p>
        </w:tc>
      </w:tr>
      <w:tr w:rsidR="00B5536D" w:rsidRPr="00B40DBA" w:rsidTr="001B6FFE">
        <w:trPr>
          <w:trHeight w:val="240"/>
          <w:jc w:val="center"/>
        </w:trPr>
        <w:tc>
          <w:tcPr>
            <w:tcW w:w="1060" w:type="dxa"/>
            <w:shd w:val="clear" w:color="auto" w:fill="auto"/>
            <w:noWrap/>
            <w:vAlign w:val="bottom"/>
          </w:tcPr>
          <w:p w:rsidR="00B5536D" w:rsidRPr="00B40DBA" w:rsidRDefault="00B5536D" w:rsidP="00764386">
            <w:pPr>
              <w:spacing w:line="240" w:lineRule="auto"/>
              <w:contextualSpacing/>
              <w:rPr>
                <w:szCs w:val="20"/>
              </w:rPr>
            </w:pPr>
            <w:r w:rsidRPr="00B40DBA">
              <w:rPr>
                <w:szCs w:val="20"/>
              </w:rPr>
              <w:t>30-39</w:t>
            </w:r>
          </w:p>
        </w:tc>
        <w:tc>
          <w:tcPr>
            <w:tcW w:w="1060" w:type="dxa"/>
            <w:shd w:val="clear" w:color="auto" w:fill="auto"/>
            <w:noWrap/>
            <w:vAlign w:val="bottom"/>
          </w:tcPr>
          <w:p w:rsidR="00B5536D" w:rsidRPr="00B40DBA" w:rsidRDefault="00B5536D" w:rsidP="00764386">
            <w:pPr>
              <w:spacing w:line="240" w:lineRule="auto"/>
              <w:contextualSpacing/>
              <w:jc w:val="right"/>
              <w:rPr>
                <w:szCs w:val="20"/>
              </w:rPr>
            </w:pPr>
            <w:r w:rsidRPr="00B40DBA">
              <w:rPr>
                <w:szCs w:val="20"/>
              </w:rPr>
              <w:t>138</w:t>
            </w:r>
          </w:p>
        </w:tc>
      </w:tr>
      <w:tr w:rsidR="00B5536D" w:rsidRPr="00B40DBA" w:rsidTr="001B6FFE">
        <w:trPr>
          <w:trHeight w:val="240"/>
          <w:jc w:val="center"/>
        </w:trPr>
        <w:tc>
          <w:tcPr>
            <w:tcW w:w="1060" w:type="dxa"/>
            <w:shd w:val="clear" w:color="auto" w:fill="auto"/>
            <w:noWrap/>
            <w:vAlign w:val="bottom"/>
          </w:tcPr>
          <w:p w:rsidR="00B5536D" w:rsidRPr="00B40DBA" w:rsidRDefault="00B5536D" w:rsidP="00764386">
            <w:pPr>
              <w:spacing w:line="240" w:lineRule="auto"/>
              <w:contextualSpacing/>
              <w:rPr>
                <w:szCs w:val="20"/>
              </w:rPr>
            </w:pPr>
            <w:r w:rsidRPr="00B40DBA">
              <w:rPr>
                <w:szCs w:val="20"/>
              </w:rPr>
              <w:t>40-49</w:t>
            </w:r>
          </w:p>
        </w:tc>
        <w:tc>
          <w:tcPr>
            <w:tcW w:w="1060" w:type="dxa"/>
            <w:shd w:val="clear" w:color="auto" w:fill="auto"/>
            <w:noWrap/>
            <w:vAlign w:val="bottom"/>
          </w:tcPr>
          <w:p w:rsidR="00B5536D" w:rsidRPr="00B40DBA" w:rsidRDefault="00B5536D" w:rsidP="00764386">
            <w:pPr>
              <w:spacing w:line="240" w:lineRule="auto"/>
              <w:contextualSpacing/>
              <w:jc w:val="right"/>
              <w:rPr>
                <w:szCs w:val="20"/>
              </w:rPr>
            </w:pPr>
            <w:r w:rsidRPr="00B40DBA">
              <w:rPr>
                <w:szCs w:val="20"/>
              </w:rPr>
              <w:t>123</w:t>
            </w:r>
          </w:p>
        </w:tc>
      </w:tr>
      <w:tr w:rsidR="00B5536D" w:rsidRPr="00B40DBA" w:rsidTr="001B6FFE">
        <w:trPr>
          <w:trHeight w:val="240"/>
          <w:jc w:val="center"/>
        </w:trPr>
        <w:tc>
          <w:tcPr>
            <w:tcW w:w="1060" w:type="dxa"/>
            <w:shd w:val="clear" w:color="auto" w:fill="auto"/>
            <w:noWrap/>
            <w:vAlign w:val="bottom"/>
          </w:tcPr>
          <w:p w:rsidR="00B5536D" w:rsidRPr="00B40DBA" w:rsidRDefault="00B5536D" w:rsidP="00764386">
            <w:pPr>
              <w:spacing w:line="240" w:lineRule="auto"/>
              <w:contextualSpacing/>
              <w:rPr>
                <w:szCs w:val="20"/>
              </w:rPr>
            </w:pPr>
            <w:r w:rsidRPr="00B40DBA">
              <w:rPr>
                <w:szCs w:val="20"/>
              </w:rPr>
              <w:t>50-59</w:t>
            </w:r>
          </w:p>
        </w:tc>
        <w:tc>
          <w:tcPr>
            <w:tcW w:w="1060" w:type="dxa"/>
            <w:shd w:val="clear" w:color="auto" w:fill="auto"/>
            <w:noWrap/>
            <w:vAlign w:val="bottom"/>
          </w:tcPr>
          <w:p w:rsidR="00B5536D" w:rsidRPr="00B40DBA" w:rsidRDefault="00B5536D" w:rsidP="00764386">
            <w:pPr>
              <w:spacing w:line="240" w:lineRule="auto"/>
              <w:contextualSpacing/>
              <w:jc w:val="right"/>
              <w:rPr>
                <w:szCs w:val="20"/>
              </w:rPr>
            </w:pPr>
            <w:r w:rsidRPr="00B40DBA">
              <w:rPr>
                <w:szCs w:val="20"/>
              </w:rPr>
              <w:t>126</w:t>
            </w:r>
          </w:p>
        </w:tc>
      </w:tr>
      <w:tr w:rsidR="00B5536D" w:rsidRPr="00B40DBA" w:rsidTr="001B6FFE">
        <w:trPr>
          <w:trHeight w:val="240"/>
          <w:jc w:val="center"/>
        </w:trPr>
        <w:tc>
          <w:tcPr>
            <w:tcW w:w="1060" w:type="dxa"/>
            <w:shd w:val="clear" w:color="auto" w:fill="auto"/>
            <w:noWrap/>
            <w:vAlign w:val="bottom"/>
          </w:tcPr>
          <w:p w:rsidR="00B5536D" w:rsidRPr="00B40DBA" w:rsidRDefault="00B5536D" w:rsidP="00764386">
            <w:pPr>
              <w:spacing w:line="240" w:lineRule="auto"/>
              <w:contextualSpacing/>
              <w:rPr>
                <w:szCs w:val="20"/>
              </w:rPr>
            </w:pPr>
            <w:r w:rsidRPr="00B40DBA">
              <w:rPr>
                <w:szCs w:val="20"/>
              </w:rPr>
              <w:t>60-69</w:t>
            </w:r>
          </w:p>
        </w:tc>
        <w:tc>
          <w:tcPr>
            <w:tcW w:w="1060" w:type="dxa"/>
            <w:shd w:val="clear" w:color="auto" w:fill="auto"/>
            <w:noWrap/>
            <w:vAlign w:val="bottom"/>
          </w:tcPr>
          <w:p w:rsidR="00B5536D" w:rsidRPr="00B40DBA" w:rsidRDefault="00B5536D" w:rsidP="00764386">
            <w:pPr>
              <w:spacing w:line="240" w:lineRule="auto"/>
              <w:contextualSpacing/>
              <w:jc w:val="right"/>
              <w:rPr>
                <w:szCs w:val="20"/>
              </w:rPr>
            </w:pPr>
            <w:r w:rsidRPr="00B40DBA">
              <w:rPr>
                <w:szCs w:val="20"/>
              </w:rPr>
              <w:t>91</w:t>
            </w:r>
          </w:p>
        </w:tc>
      </w:tr>
      <w:tr w:rsidR="00B5536D" w:rsidRPr="00B40DBA" w:rsidTr="001B6FFE">
        <w:trPr>
          <w:trHeight w:val="240"/>
          <w:jc w:val="center"/>
        </w:trPr>
        <w:tc>
          <w:tcPr>
            <w:tcW w:w="1060" w:type="dxa"/>
            <w:shd w:val="clear" w:color="auto" w:fill="auto"/>
            <w:noWrap/>
            <w:vAlign w:val="bottom"/>
          </w:tcPr>
          <w:p w:rsidR="00B5536D" w:rsidRPr="00B40DBA" w:rsidRDefault="00B5536D" w:rsidP="00764386">
            <w:pPr>
              <w:spacing w:line="240" w:lineRule="auto"/>
              <w:contextualSpacing/>
              <w:rPr>
                <w:szCs w:val="20"/>
              </w:rPr>
            </w:pPr>
            <w:r w:rsidRPr="00B40DBA">
              <w:rPr>
                <w:szCs w:val="20"/>
              </w:rPr>
              <w:t>70-79</w:t>
            </w:r>
          </w:p>
        </w:tc>
        <w:tc>
          <w:tcPr>
            <w:tcW w:w="1060" w:type="dxa"/>
            <w:shd w:val="clear" w:color="auto" w:fill="auto"/>
            <w:noWrap/>
            <w:vAlign w:val="bottom"/>
          </w:tcPr>
          <w:p w:rsidR="00B5536D" w:rsidRPr="00B40DBA" w:rsidRDefault="00B5536D" w:rsidP="00764386">
            <w:pPr>
              <w:spacing w:line="240" w:lineRule="auto"/>
              <w:contextualSpacing/>
              <w:jc w:val="right"/>
              <w:rPr>
                <w:szCs w:val="20"/>
              </w:rPr>
            </w:pPr>
            <w:r w:rsidRPr="00B40DBA">
              <w:rPr>
                <w:szCs w:val="20"/>
              </w:rPr>
              <w:t>59</w:t>
            </w:r>
          </w:p>
        </w:tc>
      </w:tr>
      <w:tr w:rsidR="00B5536D" w:rsidRPr="00B40DBA" w:rsidTr="001B6FFE">
        <w:trPr>
          <w:trHeight w:val="240"/>
          <w:jc w:val="center"/>
        </w:trPr>
        <w:tc>
          <w:tcPr>
            <w:tcW w:w="1060" w:type="dxa"/>
            <w:shd w:val="clear" w:color="auto" w:fill="auto"/>
            <w:noWrap/>
            <w:vAlign w:val="bottom"/>
          </w:tcPr>
          <w:p w:rsidR="00B5536D" w:rsidRPr="00B40DBA" w:rsidRDefault="00B5536D" w:rsidP="00764386">
            <w:pPr>
              <w:spacing w:line="240" w:lineRule="auto"/>
              <w:contextualSpacing/>
              <w:rPr>
                <w:szCs w:val="20"/>
              </w:rPr>
            </w:pPr>
            <w:r w:rsidRPr="00B40DBA">
              <w:rPr>
                <w:szCs w:val="20"/>
              </w:rPr>
              <w:t>Over 80</w:t>
            </w:r>
          </w:p>
        </w:tc>
        <w:tc>
          <w:tcPr>
            <w:tcW w:w="1060" w:type="dxa"/>
            <w:shd w:val="clear" w:color="auto" w:fill="auto"/>
            <w:noWrap/>
            <w:vAlign w:val="bottom"/>
          </w:tcPr>
          <w:p w:rsidR="00B5536D" w:rsidRPr="00B40DBA" w:rsidRDefault="00B5536D" w:rsidP="00EE571F">
            <w:pPr>
              <w:keepNext/>
              <w:spacing w:line="240" w:lineRule="auto"/>
              <w:contextualSpacing/>
              <w:jc w:val="right"/>
              <w:rPr>
                <w:szCs w:val="20"/>
              </w:rPr>
            </w:pPr>
            <w:r w:rsidRPr="00B40DBA">
              <w:rPr>
                <w:szCs w:val="20"/>
              </w:rPr>
              <w:t>83</w:t>
            </w:r>
          </w:p>
        </w:tc>
      </w:tr>
    </w:tbl>
    <w:p w:rsidR="00B5536D" w:rsidRPr="00B40DBA" w:rsidRDefault="00EE571F" w:rsidP="00EE571F">
      <w:pPr>
        <w:pStyle w:val="Caption"/>
      </w:pPr>
      <w:r>
        <w:tab/>
      </w:r>
      <w:r>
        <w:tab/>
      </w:r>
      <w:r>
        <w:tab/>
      </w:r>
      <w:r>
        <w:tab/>
      </w:r>
      <w:r>
        <w:tab/>
        <w:t xml:space="preserve">Figure </w:t>
      </w:r>
      <w:fldSimple w:instr=" SEQ Figure \* ARABIC ">
        <w:r w:rsidR="00707511">
          <w:rPr>
            <w:noProof/>
          </w:rPr>
          <w:t>35</w:t>
        </w:r>
      </w:fldSimple>
    </w:p>
    <w:p w:rsidR="00B5536D" w:rsidRPr="00B864AC" w:rsidRDefault="00B5536D" w:rsidP="00764386">
      <w:pPr>
        <w:spacing w:line="240" w:lineRule="auto"/>
        <w:contextualSpacing/>
        <w:rPr>
          <w:b/>
          <w:color w:val="4E5612"/>
          <w:sz w:val="25"/>
        </w:rPr>
      </w:pPr>
      <w:r w:rsidRPr="00B864AC">
        <w:rPr>
          <w:b/>
          <w:color w:val="4E5612"/>
          <w:sz w:val="25"/>
        </w:rPr>
        <w:t>Employment</w:t>
      </w:r>
    </w:p>
    <w:p w:rsidR="00B5536D" w:rsidRPr="00B40DBA" w:rsidRDefault="00B5536D" w:rsidP="00764386">
      <w:pPr>
        <w:spacing w:line="240" w:lineRule="auto"/>
        <w:contextualSpacing/>
      </w:pPr>
      <w:r w:rsidRPr="00B40DBA">
        <w:t>Of the 1,127 people residing in Ashton, 731 are over 16 years of age. The labor force is 492. Of that number, 475 are employed with 17 unemployed. Ashton has a 3.5% unemployment rate.  Those who are employed and have to commute to work have a mean commute time of 18.1 minutes.</w:t>
      </w:r>
      <w:r w:rsidRPr="00B40DBA">
        <w:rPr>
          <w:rStyle w:val="FootnoteReference"/>
        </w:rPr>
        <w:t xml:space="preserve"> </w:t>
      </w:r>
      <w:r w:rsidRPr="00B40DBA">
        <w:rPr>
          <w:rStyle w:val="FootnoteReference"/>
        </w:rPr>
        <w:footnoteReference w:id="45"/>
      </w:r>
    </w:p>
    <w:p w:rsidR="00B85456" w:rsidRDefault="00B85456" w:rsidP="00764386">
      <w:pPr>
        <w:spacing w:line="240" w:lineRule="auto"/>
        <w:contextualSpacing/>
      </w:pPr>
    </w:p>
    <w:p w:rsidR="001B6FFE" w:rsidRDefault="001B6FFE" w:rsidP="00764386">
      <w:pPr>
        <w:spacing w:line="240" w:lineRule="auto"/>
        <w:contextualSpacing/>
        <w:rPr>
          <w:b/>
          <w:color w:val="4E5612"/>
          <w:sz w:val="25"/>
        </w:rPr>
      </w:pPr>
    </w:p>
    <w:p w:rsidR="001B6FFE" w:rsidRDefault="001B6FFE" w:rsidP="00764386">
      <w:pPr>
        <w:spacing w:line="240" w:lineRule="auto"/>
        <w:contextualSpacing/>
        <w:rPr>
          <w:b/>
          <w:color w:val="4E5612"/>
          <w:sz w:val="25"/>
        </w:rPr>
      </w:pPr>
    </w:p>
    <w:p w:rsidR="001B6FFE" w:rsidRDefault="001B6FFE" w:rsidP="00764386">
      <w:pPr>
        <w:spacing w:line="240" w:lineRule="auto"/>
        <w:contextualSpacing/>
        <w:rPr>
          <w:b/>
          <w:color w:val="4E5612"/>
          <w:sz w:val="25"/>
        </w:rPr>
      </w:pPr>
    </w:p>
    <w:p w:rsidR="001B6FFE" w:rsidRDefault="001B6FFE" w:rsidP="00764386">
      <w:pPr>
        <w:spacing w:line="240" w:lineRule="auto"/>
        <w:contextualSpacing/>
        <w:rPr>
          <w:b/>
          <w:color w:val="4E5612"/>
          <w:sz w:val="25"/>
        </w:rPr>
      </w:pPr>
    </w:p>
    <w:p w:rsidR="001B6FFE" w:rsidRDefault="001B6FFE" w:rsidP="00764386">
      <w:pPr>
        <w:spacing w:line="240" w:lineRule="auto"/>
        <w:contextualSpacing/>
        <w:rPr>
          <w:b/>
          <w:color w:val="4E5612"/>
          <w:sz w:val="25"/>
        </w:rPr>
      </w:pPr>
    </w:p>
    <w:p w:rsidR="001B6FFE" w:rsidRDefault="001B6FFE" w:rsidP="00764386">
      <w:pPr>
        <w:spacing w:line="240" w:lineRule="auto"/>
        <w:contextualSpacing/>
        <w:rPr>
          <w:b/>
          <w:color w:val="4E5612"/>
          <w:sz w:val="25"/>
        </w:rPr>
      </w:pPr>
    </w:p>
    <w:p w:rsidR="001B6FFE" w:rsidRDefault="001B6FFE" w:rsidP="00764386">
      <w:pPr>
        <w:spacing w:line="240" w:lineRule="auto"/>
        <w:contextualSpacing/>
        <w:rPr>
          <w:b/>
          <w:color w:val="4E5612"/>
          <w:sz w:val="25"/>
        </w:rPr>
      </w:pPr>
    </w:p>
    <w:p w:rsidR="001B6FFE" w:rsidRDefault="001B6FFE" w:rsidP="00764386">
      <w:pPr>
        <w:spacing w:line="240" w:lineRule="auto"/>
        <w:contextualSpacing/>
        <w:rPr>
          <w:b/>
          <w:color w:val="4E5612"/>
          <w:sz w:val="25"/>
        </w:rPr>
      </w:pPr>
    </w:p>
    <w:p w:rsidR="001B6FFE" w:rsidRDefault="001B6FFE"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lastRenderedPageBreak/>
        <w:t xml:space="preserve">Income </w:t>
      </w:r>
    </w:p>
    <w:p w:rsidR="00B5536D" w:rsidRDefault="00B5536D" w:rsidP="00764386">
      <w:pPr>
        <w:spacing w:line="240" w:lineRule="auto"/>
        <w:contextualSpacing/>
      </w:pPr>
      <w:r w:rsidRPr="00B40DBA">
        <w:t xml:space="preserve">According to the U.S. Census Bureau 74.9% of households earn less than $50,000 a year.  The largest quartile of wage earners is between $25,000 and $50,000 at 39.1%. Below income is separated into 6 income strata’s. Median household income is $38,347. Mean household income is $40,380. </w:t>
      </w:r>
      <w:r w:rsidRPr="00B40DBA">
        <w:rPr>
          <w:rStyle w:val="FootnoteReference"/>
        </w:rPr>
        <w:footnoteReference w:id="46"/>
      </w:r>
    </w:p>
    <w:p w:rsidR="00B5536D" w:rsidRDefault="00B5536D" w:rsidP="00764386">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98"/>
        <w:gridCol w:w="2700"/>
        <w:gridCol w:w="3978"/>
      </w:tblGrid>
      <w:tr w:rsidR="00B5536D" w:rsidTr="001B6FFE">
        <w:tc>
          <w:tcPr>
            <w:tcW w:w="2898" w:type="dxa"/>
          </w:tcPr>
          <w:p w:rsidR="00B5536D" w:rsidRPr="00237D4D" w:rsidRDefault="00B5536D" w:rsidP="00764386">
            <w:pPr>
              <w:contextualSpacing/>
              <w:rPr>
                <w:rFonts w:ascii="Garamond" w:hAnsi="Garamond"/>
                <w:b/>
              </w:rPr>
            </w:pPr>
            <w:r w:rsidRPr="00237D4D">
              <w:rPr>
                <w:rFonts w:ascii="Garamond" w:hAnsi="Garamond"/>
                <w:b/>
              </w:rPr>
              <w:t>Income</w:t>
            </w:r>
          </w:p>
        </w:tc>
        <w:tc>
          <w:tcPr>
            <w:tcW w:w="2700" w:type="dxa"/>
          </w:tcPr>
          <w:p w:rsidR="00B5536D" w:rsidRPr="00237D4D" w:rsidRDefault="00B5536D" w:rsidP="00764386">
            <w:pPr>
              <w:contextualSpacing/>
              <w:jc w:val="center"/>
              <w:rPr>
                <w:rFonts w:ascii="Garamond" w:hAnsi="Garamond"/>
                <w:b/>
              </w:rPr>
            </w:pPr>
            <w:r w:rsidRPr="00237D4D">
              <w:rPr>
                <w:rFonts w:ascii="Garamond" w:hAnsi="Garamond"/>
                <w:b/>
              </w:rPr>
              <w:t>Households</w:t>
            </w:r>
          </w:p>
        </w:tc>
        <w:tc>
          <w:tcPr>
            <w:tcW w:w="3978" w:type="dxa"/>
          </w:tcPr>
          <w:p w:rsidR="00B5536D" w:rsidRPr="00237D4D" w:rsidRDefault="00B5536D" w:rsidP="00764386">
            <w:pPr>
              <w:contextualSpacing/>
              <w:jc w:val="center"/>
              <w:rPr>
                <w:rFonts w:ascii="Garamond" w:hAnsi="Garamond"/>
                <w:b/>
              </w:rPr>
            </w:pPr>
            <w:r>
              <w:rPr>
                <w:rFonts w:ascii="Garamond" w:hAnsi="Garamond"/>
                <w:b/>
              </w:rPr>
              <w:t>Percentage of Total Households</w:t>
            </w:r>
          </w:p>
        </w:tc>
      </w:tr>
      <w:tr w:rsidR="00B5536D" w:rsidTr="001B6FFE">
        <w:tc>
          <w:tcPr>
            <w:tcW w:w="2898" w:type="dxa"/>
          </w:tcPr>
          <w:p w:rsidR="00B5536D" w:rsidRPr="00F654F4" w:rsidRDefault="00B5536D" w:rsidP="00764386">
            <w:pPr>
              <w:contextualSpacing/>
              <w:rPr>
                <w:rFonts w:ascii="Garamond" w:hAnsi="Garamond"/>
              </w:rPr>
            </w:pPr>
            <w:r w:rsidRPr="00F654F4">
              <w:rPr>
                <w:rFonts w:ascii="Garamond" w:hAnsi="Garamond"/>
              </w:rPr>
              <w:t>$0 to 9,999</w:t>
            </w:r>
          </w:p>
        </w:tc>
        <w:tc>
          <w:tcPr>
            <w:tcW w:w="2700" w:type="dxa"/>
          </w:tcPr>
          <w:p w:rsidR="00B5536D" w:rsidRPr="00F654F4" w:rsidRDefault="00B5536D" w:rsidP="00764386">
            <w:pPr>
              <w:contextualSpacing/>
              <w:jc w:val="center"/>
              <w:rPr>
                <w:rFonts w:ascii="Garamond" w:hAnsi="Garamond"/>
              </w:rPr>
            </w:pPr>
            <w:r>
              <w:rPr>
                <w:rFonts w:ascii="Garamond" w:hAnsi="Garamond"/>
              </w:rPr>
              <w:t>23</w:t>
            </w:r>
          </w:p>
        </w:tc>
        <w:tc>
          <w:tcPr>
            <w:tcW w:w="3978" w:type="dxa"/>
          </w:tcPr>
          <w:p w:rsidR="00B5536D" w:rsidRPr="00F654F4" w:rsidRDefault="00B5536D" w:rsidP="00764386">
            <w:pPr>
              <w:contextualSpacing/>
              <w:jc w:val="center"/>
              <w:rPr>
                <w:rFonts w:ascii="Garamond" w:hAnsi="Garamond"/>
              </w:rPr>
            </w:pPr>
            <w:r>
              <w:rPr>
                <w:rFonts w:ascii="Garamond" w:hAnsi="Garamond"/>
              </w:rPr>
              <w:t>6.1</w:t>
            </w:r>
            <w:r w:rsidRPr="00F654F4">
              <w:rPr>
                <w:rFonts w:ascii="Garamond" w:hAnsi="Garamond"/>
              </w:rPr>
              <w:t>%</w:t>
            </w:r>
          </w:p>
        </w:tc>
      </w:tr>
      <w:tr w:rsidR="00B5536D" w:rsidTr="001B6FFE">
        <w:tc>
          <w:tcPr>
            <w:tcW w:w="2898" w:type="dxa"/>
          </w:tcPr>
          <w:p w:rsidR="00B5536D" w:rsidRPr="00237D4D" w:rsidRDefault="00B5536D" w:rsidP="00764386">
            <w:pPr>
              <w:contextualSpacing/>
              <w:rPr>
                <w:rFonts w:ascii="Garamond" w:hAnsi="Garamond"/>
              </w:rPr>
            </w:pPr>
            <w:r w:rsidRPr="00237D4D">
              <w:rPr>
                <w:rFonts w:ascii="Garamond" w:hAnsi="Garamond"/>
              </w:rPr>
              <w:t>$</w:t>
            </w:r>
            <w:r>
              <w:rPr>
                <w:rFonts w:ascii="Garamond" w:hAnsi="Garamond"/>
              </w:rPr>
              <w:t>10,000 to $</w:t>
            </w:r>
            <w:r w:rsidRPr="00237D4D">
              <w:rPr>
                <w:rFonts w:ascii="Garamond" w:hAnsi="Garamond"/>
              </w:rPr>
              <w:t>24,999</w:t>
            </w:r>
          </w:p>
        </w:tc>
        <w:tc>
          <w:tcPr>
            <w:tcW w:w="2700" w:type="dxa"/>
          </w:tcPr>
          <w:p w:rsidR="00B5536D" w:rsidRPr="00237D4D" w:rsidRDefault="00B5536D" w:rsidP="00764386">
            <w:pPr>
              <w:contextualSpacing/>
              <w:jc w:val="center"/>
              <w:rPr>
                <w:rFonts w:ascii="Garamond" w:hAnsi="Garamond"/>
              </w:rPr>
            </w:pPr>
            <w:r>
              <w:rPr>
                <w:rFonts w:ascii="Garamond" w:hAnsi="Garamond"/>
              </w:rPr>
              <w:t>113</w:t>
            </w:r>
          </w:p>
        </w:tc>
        <w:tc>
          <w:tcPr>
            <w:tcW w:w="3978" w:type="dxa"/>
          </w:tcPr>
          <w:p w:rsidR="00B5536D" w:rsidRPr="00237D4D" w:rsidRDefault="00B5536D" w:rsidP="00764386">
            <w:pPr>
              <w:contextualSpacing/>
              <w:jc w:val="center"/>
              <w:rPr>
                <w:rFonts w:ascii="Garamond" w:hAnsi="Garamond"/>
              </w:rPr>
            </w:pPr>
            <w:r>
              <w:rPr>
                <w:rFonts w:ascii="Garamond" w:hAnsi="Garamond"/>
              </w:rPr>
              <w:t>29.8</w:t>
            </w:r>
            <w:r w:rsidRPr="00237D4D">
              <w:rPr>
                <w:rFonts w:ascii="Garamond" w:hAnsi="Garamond"/>
              </w:rPr>
              <w:t>%</w:t>
            </w:r>
          </w:p>
        </w:tc>
      </w:tr>
      <w:tr w:rsidR="00B5536D" w:rsidTr="001B6FFE">
        <w:tc>
          <w:tcPr>
            <w:tcW w:w="2898" w:type="dxa"/>
          </w:tcPr>
          <w:p w:rsidR="00B5536D" w:rsidRPr="00237D4D" w:rsidRDefault="00B5536D" w:rsidP="00764386">
            <w:pPr>
              <w:contextualSpacing/>
              <w:rPr>
                <w:rFonts w:ascii="Garamond" w:hAnsi="Garamond"/>
              </w:rPr>
            </w:pPr>
            <w:r w:rsidRPr="00237D4D">
              <w:rPr>
                <w:rFonts w:ascii="Garamond" w:hAnsi="Garamond"/>
              </w:rPr>
              <w:t>$</w:t>
            </w:r>
            <w:r>
              <w:rPr>
                <w:rFonts w:ascii="Garamond" w:hAnsi="Garamond"/>
              </w:rPr>
              <w:t>25,000 to</w:t>
            </w:r>
            <w:r w:rsidRPr="00237D4D">
              <w:rPr>
                <w:rFonts w:ascii="Garamond" w:hAnsi="Garamond"/>
              </w:rPr>
              <w:t xml:space="preserve"> </w:t>
            </w:r>
            <w:r>
              <w:rPr>
                <w:rFonts w:ascii="Garamond" w:hAnsi="Garamond"/>
              </w:rPr>
              <w:t>$</w:t>
            </w:r>
            <w:r w:rsidRPr="00237D4D">
              <w:rPr>
                <w:rFonts w:ascii="Garamond" w:hAnsi="Garamond"/>
              </w:rPr>
              <w:t>49,999</w:t>
            </w:r>
          </w:p>
        </w:tc>
        <w:tc>
          <w:tcPr>
            <w:tcW w:w="2700" w:type="dxa"/>
          </w:tcPr>
          <w:p w:rsidR="00B5536D" w:rsidRPr="00237D4D" w:rsidRDefault="00B5536D" w:rsidP="00764386">
            <w:pPr>
              <w:contextualSpacing/>
              <w:jc w:val="center"/>
              <w:rPr>
                <w:rFonts w:ascii="Garamond" w:hAnsi="Garamond"/>
              </w:rPr>
            </w:pPr>
            <w:r>
              <w:rPr>
                <w:rFonts w:ascii="Garamond" w:hAnsi="Garamond"/>
              </w:rPr>
              <w:t>148</w:t>
            </w:r>
          </w:p>
        </w:tc>
        <w:tc>
          <w:tcPr>
            <w:tcW w:w="3978" w:type="dxa"/>
          </w:tcPr>
          <w:p w:rsidR="00B5536D" w:rsidRPr="00237D4D" w:rsidRDefault="00B5536D" w:rsidP="00764386">
            <w:pPr>
              <w:contextualSpacing/>
              <w:jc w:val="center"/>
              <w:rPr>
                <w:rFonts w:ascii="Garamond" w:hAnsi="Garamond"/>
              </w:rPr>
            </w:pPr>
            <w:r>
              <w:rPr>
                <w:rFonts w:ascii="Garamond" w:hAnsi="Garamond"/>
              </w:rPr>
              <w:t>39.1%</w:t>
            </w:r>
          </w:p>
        </w:tc>
      </w:tr>
      <w:tr w:rsidR="00B5536D" w:rsidTr="001B6FFE">
        <w:tc>
          <w:tcPr>
            <w:tcW w:w="2898" w:type="dxa"/>
          </w:tcPr>
          <w:p w:rsidR="00B5536D" w:rsidRPr="00237D4D" w:rsidRDefault="00B5536D" w:rsidP="00764386">
            <w:pPr>
              <w:contextualSpacing/>
              <w:rPr>
                <w:rFonts w:ascii="Garamond" w:hAnsi="Garamond"/>
              </w:rPr>
            </w:pPr>
            <w:r w:rsidRPr="00237D4D">
              <w:rPr>
                <w:rFonts w:ascii="Garamond" w:hAnsi="Garamond"/>
              </w:rPr>
              <w:t>$</w:t>
            </w:r>
            <w:r>
              <w:rPr>
                <w:rFonts w:ascii="Garamond" w:hAnsi="Garamond"/>
              </w:rPr>
              <w:t>50,000 to</w:t>
            </w:r>
            <w:r w:rsidRPr="00237D4D">
              <w:rPr>
                <w:rFonts w:ascii="Garamond" w:hAnsi="Garamond"/>
              </w:rPr>
              <w:t xml:space="preserve"> </w:t>
            </w:r>
            <w:r>
              <w:rPr>
                <w:rFonts w:ascii="Garamond" w:hAnsi="Garamond"/>
              </w:rPr>
              <w:t>$</w:t>
            </w:r>
            <w:r w:rsidRPr="00237D4D">
              <w:rPr>
                <w:rFonts w:ascii="Garamond" w:hAnsi="Garamond"/>
              </w:rPr>
              <w:t>74,999</w:t>
            </w:r>
          </w:p>
        </w:tc>
        <w:tc>
          <w:tcPr>
            <w:tcW w:w="2700" w:type="dxa"/>
          </w:tcPr>
          <w:p w:rsidR="00B5536D" w:rsidRPr="00237D4D" w:rsidRDefault="00B5536D" w:rsidP="00764386">
            <w:pPr>
              <w:contextualSpacing/>
              <w:jc w:val="center"/>
              <w:rPr>
                <w:rFonts w:ascii="Garamond" w:hAnsi="Garamond"/>
              </w:rPr>
            </w:pPr>
            <w:r>
              <w:rPr>
                <w:rFonts w:ascii="Garamond" w:hAnsi="Garamond"/>
              </w:rPr>
              <w:t>48</w:t>
            </w:r>
          </w:p>
        </w:tc>
        <w:tc>
          <w:tcPr>
            <w:tcW w:w="3978" w:type="dxa"/>
          </w:tcPr>
          <w:p w:rsidR="00B5536D" w:rsidRPr="00237D4D" w:rsidRDefault="00B5536D" w:rsidP="00764386">
            <w:pPr>
              <w:contextualSpacing/>
              <w:jc w:val="center"/>
              <w:rPr>
                <w:rFonts w:ascii="Garamond" w:hAnsi="Garamond"/>
              </w:rPr>
            </w:pPr>
            <w:r>
              <w:rPr>
                <w:rFonts w:ascii="Garamond" w:hAnsi="Garamond"/>
              </w:rPr>
              <w:t>12.7</w:t>
            </w:r>
            <w:r w:rsidRPr="00237D4D">
              <w:rPr>
                <w:rFonts w:ascii="Garamond" w:hAnsi="Garamond"/>
              </w:rPr>
              <w:t>%</w:t>
            </w:r>
          </w:p>
        </w:tc>
      </w:tr>
      <w:tr w:rsidR="00B5536D" w:rsidTr="001B6FFE">
        <w:tc>
          <w:tcPr>
            <w:tcW w:w="2898" w:type="dxa"/>
          </w:tcPr>
          <w:p w:rsidR="00B5536D" w:rsidRPr="00237D4D" w:rsidRDefault="00B5536D" w:rsidP="00764386">
            <w:pPr>
              <w:contextualSpacing/>
              <w:rPr>
                <w:rFonts w:ascii="Garamond" w:hAnsi="Garamond"/>
              </w:rPr>
            </w:pPr>
            <w:r w:rsidRPr="00237D4D">
              <w:rPr>
                <w:rFonts w:ascii="Garamond" w:hAnsi="Garamond"/>
              </w:rPr>
              <w:t>$</w:t>
            </w:r>
            <w:r>
              <w:rPr>
                <w:rFonts w:ascii="Garamond" w:hAnsi="Garamond"/>
              </w:rPr>
              <w:t>75,000 to</w:t>
            </w:r>
            <w:r w:rsidRPr="00237D4D">
              <w:rPr>
                <w:rFonts w:ascii="Garamond" w:hAnsi="Garamond"/>
              </w:rPr>
              <w:t xml:space="preserve"> </w:t>
            </w:r>
            <w:r>
              <w:rPr>
                <w:rFonts w:ascii="Garamond" w:hAnsi="Garamond"/>
              </w:rPr>
              <w:t>$</w:t>
            </w:r>
            <w:r w:rsidRPr="00237D4D">
              <w:rPr>
                <w:rFonts w:ascii="Garamond" w:hAnsi="Garamond"/>
              </w:rPr>
              <w:t>99,999</w:t>
            </w:r>
          </w:p>
        </w:tc>
        <w:tc>
          <w:tcPr>
            <w:tcW w:w="2700" w:type="dxa"/>
          </w:tcPr>
          <w:p w:rsidR="00B5536D" w:rsidRPr="00237D4D" w:rsidRDefault="00B5536D" w:rsidP="00764386">
            <w:pPr>
              <w:contextualSpacing/>
              <w:jc w:val="center"/>
              <w:rPr>
                <w:rFonts w:ascii="Garamond" w:hAnsi="Garamond"/>
              </w:rPr>
            </w:pPr>
            <w:r>
              <w:rPr>
                <w:rFonts w:ascii="Garamond" w:hAnsi="Garamond"/>
              </w:rPr>
              <w:t>44</w:t>
            </w:r>
          </w:p>
        </w:tc>
        <w:tc>
          <w:tcPr>
            <w:tcW w:w="3978" w:type="dxa"/>
          </w:tcPr>
          <w:p w:rsidR="00B5536D" w:rsidRPr="00237D4D" w:rsidRDefault="00B5536D" w:rsidP="00764386">
            <w:pPr>
              <w:contextualSpacing/>
              <w:jc w:val="center"/>
              <w:rPr>
                <w:rFonts w:ascii="Garamond" w:hAnsi="Garamond"/>
              </w:rPr>
            </w:pPr>
            <w:r>
              <w:rPr>
                <w:rFonts w:ascii="Garamond" w:hAnsi="Garamond"/>
              </w:rPr>
              <w:t>11.6</w:t>
            </w:r>
            <w:r w:rsidRPr="00237D4D">
              <w:rPr>
                <w:rFonts w:ascii="Garamond" w:hAnsi="Garamond"/>
              </w:rPr>
              <w:t>%</w:t>
            </w:r>
          </w:p>
        </w:tc>
      </w:tr>
      <w:tr w:rsidR="00B5536D" w:rsidTr="001B6FFE">
        <w:tc>
          <w:tcPr>
            <w:tcW w:w="2898" w:type="dxa"/>
          </w:tcPr>
          <w:p w:rsidR="00B5536D" w:rsidRPr="00237D4D" w:rsidRDefault="00B5536D" w:rsidP="00764386">
            <w:pPr>
              <w:contextualSpacing/>
              <w:rPr>
                <w:rFonts w:ascii="Garamond" w:hAnsi="Garamond"/>
              </w:rPr>
            </w:pPr>
            <w:r w:rsidRPr="00237D4D">
              <w:rPr>
                <w:rFonts w:ascii="Garamond" w:hAnsi="Garamond"/>
              </w:rPr>
              <w:t>$</w:t>
            </w:r>
            <w:r>
              <w:rPr>
                <w:rFonts w:ascii="Garamond" w:hAnsi="Garamond"/>
              </w:rPr>
              <w:t xml:space="preserve">100,000 and </w:t>
            </w:r>
            <w:r w:rsidRPr="00237D4D">
              <w:rPr>
                <w:rFonts w:ascii="Garamond" w:hAnsi="Garamond"/>
              </w:rPr>
              <w:t>Above</w:t>
            </w:r>
          </w:p>
        </w:tc>
        <w:tc>
          <w:tcPr>
            <w:tcW w:w="2700" w:type="dxa"/>
          </w:tcPr>
          <w:p w:rsidR="00B5536D" w:rsidRPr="00237D4D" w:rsidRDefault="00B5536D" w:rsidP="00764386">
            <w:pPr>
              <w:contextualSpacing/>
              <w:jc w:val="center"/>
              <w:rPr>
                <w:rFonts w:ascii="Garamond" w:hAnsi="Garamond"/>
              </w:rPr>
            </w:pPr>
            <w:r>
              <w:rPr>
                <w:rFonts w:ascii="Garamond" w:hAnsi="Garamond"/>
              </w:rPr>
              <w:t>3</w:t>
            </w:r>
          </w:p>
        </w:tc>
        <w:tc>
          <w:tcPr>
            <w:tcW w:w="3978" w:type="dxa"/>
          </w:tcPr>
          <w:p w:rsidR="00B5536D" w:rsidRPr="00237D4D" w:rsidRDefault="00B5536D" w:rsidP="00EE571F">
            <w:pPr>
              <w:keepNext/>
              <w:contextualSpacing/>
              <w:jc w:val="center"/>
              <w:rPr>
                <w:rFonts w:ascii="Garamond" w:hAnsi="Garamond"/>
              </w:rPr>
            </w:pPr>
            <w:r>
              <w:rPr>
                <w:rFonts w:ascii="Garamond" w:hAnsi="Garamond"/>
              </w:rPr>
              <w:t>0.1</w:t>
            </w:r>
            <w:r w:rsidRPr="00237D4D">
              <w:rPr>
                <w:rFonts w:ascii="Garamond" w:hAnsi="Garamond"/>
              </w:rPr>
              <w:t>%</w:t>
            </w:r>
          </w:p>
        </w:tc>
      </w:tr>
    </w:tbl>
    <w:p w:rsidR="00B5536D" w:rsidRPr="00B40DBA" w:rsidRDefault="00EE571F" w:rsidP="00EE571F">
      <w:pPr>
        <w:pStyle w:val="Caption"/>
      </w:pPr>
      <w:r>
        <w:t xml:space="preserve">Figure </w:t>
      </w:r>
      <w:fldSimple w:instr=" SEQ Figure \* ARABIC ">
        <w:r w:rsidR="00707511">
          <w:rPr>
            <w:noProof/>
          </w:rPr>
          <w:t>36</w:t>
        </w:r>
      </w:fldSimple>
    </w:p>
    <w:p w:rsidR="00B5536D" w:rsidRPr="00B864AC" w:rsidRDefault="00B5536D" w:rsidP="00764386">
      <w:pPr>
        <w:spacing w:line="240" w:lineRule="auto"/>
        <w:contextualSpacing/>
        <w:rPr>
          <w:b/>
          <w:color w:val="4E5612"/>
          <w:sz w:val="25"/>
        </w:rPr>
      </w:pPr>
      <w:r w:rsidRPr="00B864AC">
        <w:rPr>
          <w:b/>
          <w:color w:val="4E5612"/>
          <w:sz w:val="25"/>
        </w:rPr>
        <w:t>Monthly housing costs as a percentage of household income</w:t>
      </w:r>
    </w:p>
    <w:p w:rsidR="00B5536D" w:rsidRPr="00B40DBA" w:rsidRDefault="00B5536D" w:rsidP="00764386">
      <w:pPr>
        <w:spacing w:line="240" w:lineRule="auto"/>
        <w:contextualSpacing/>
      </w:pPr>
      <w:r w:rsidRPr="0081272D">
        <w:t>When compared to the National percentages, Ashton is quite affordable when it comes to housing costs. Nationally, 38% of people with a mortgage pay more than 30% of their income on housing compared to 21.8% in Ashton.</w:t>
      </w:r>
      <w:r>
        <w:rPr>
          <w:rStyle w:val="FootnoteReference"/>
        </w:rPr>
        <w:footnoteReference w:id="47"/>
      </w:r>
      <w:r>
        <w:t xml:space="preserve"> </w:t>
      </w:r>
      <w:r w:rsidRPr="0081272D">
        <w:t>For those paying rent nationally, 53% of the population spends more than 30% of their income on housing costs compared to only 34.</w:t>
      </w:r>
      <w:r>
        <w:t>6% of the population in Ashton.</w:t>
      </w:r>
      <w:r>
        <w:rPr>
          <w:rStyle w:val="FootnoteReference"/>
        </w:rPr>
        <w:footnoteReference w:id="48"/>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394"/>
        <w:gridCol w:w="2394"/>
        <w:gridCol w:w="2394"/>
        <w:gridCol w:w="2394"/>
      </w:tblGrid>
      <w:tr w:rsidR="00B5536D" w:rsidTr="001B6FFE">
        <w:tc>
          <w:tcPr>
            <w:tcW w:w="2394" w:type="dxa"/>
          </w:tcPr>
          <w:p w:rsidR="00B5536D" w:rsidRPr="00C73389" w:rsidRDefault="00B5536D" w:rsidP="00764386">
            <w:pPr>
              <w:contextualSpacing/>
              <w:rPr>
                <w:rFonts w:ascii="Garamond" w:hAnsi="Garamond"/>
                <w:b/>
              </w:rPr>
            </w:pPr>
            <w:r w:rsidRPr="00C73389">
              <w:rPr>
                <w:rFonts w:ascii="Garamond" w:hAnsi="Garamond"/>
                <w:b/>
              </w:rPr>
              <w:t>Percent of Income Spent on Housing</w:t>
            </w:r>
          </w:p>
        </w:tc>
        <w:tc>
          <w:tcPr>
            <w:tcW w:w="2394" w:type="dxa"/>
          </w:tcPr>
          <w:p w:rsidR="00B5536D" w:rsidRPr="00C73389" w:rsidRDefault="00B5536D" w:rsidP="00764386">
            <w:pPr>
              <w:contextualSpacing/>
              <w:rPr>
                <w:rFonts w:ascii="Garamond" w:hAnsi="Garamond"/>
                <w:b/>
              </w:rPr>
            </w:pPr>
            <w:r w:rsidRPr="00C73389">
              <w:rPr>
                <w:rFonts w:ascii="Garamond" w:hAnsi="Garamond"/>
                <w:b/>
              </w:rPr>
              <w:t>Housing Costs with a Mortgage</w:t>
            </w:r>
          </w:p>
        </w:tc>
        <w:tc>
          <w:tcPr>
            <w:tcW w:w="2394" w:type="dxa"/>
          </w:tcPr>
          <w:p w:rsidR="00B5536D" w:rsidRPr="00C73389" w:rsidRDefault="00B5536D" w:rsidP="00764386">
            <w:pPr>
              <w:contextualSpacing/>
              <w:rPr>
                <w:rFonts w:ascii="Garamond" w:hAnsi="Garamond"/>
                <w:b/>
              </w:rPr>
            </w:pPr>
            <w:r w:rsidRPr="00C73389">
              <w:rPr>
                <w:rFonts w:ascii="Garamond" w:hAnsi="Garamond"/>
                <w:b/>
              </w:rPr>
              <w:t>Housing Costs without a Mortgage</w:t>
            </w:r>
          </w:p>
        </w:tc>
        <w:tc>
          <w:tcPr>
            <w:tcW w:w="2394" w:type="dxa"/>
          </w:tcPr>
          <w:p w:rsidR="00B5536D" w:rsidRPr="00C73389" w:rsidRDefault="00B5536D" w:rsidP="00764386">
            <w:pPr>
              <w:contextualSpacing/>
              <w:rPr>
                <w:rFonts w:ascii="Garamond" w:hAnsi="Garamond"/>
                <w:b/>
              </w:rPr>
            </w:pPr>
            <w:r w:rsidRPr="00C73389">
              <w:rPr>
                <w:rFonts w:ascii="Garamond" w:hAnsi="Garamond"/>
                <w:b/>
              </w:rPr>
              <w:t>Rental Costs</w:t>
            </w:r>
          </w:p>
        </w:tc>
      </w:tr>
      <w:tr w:rsidR="00B5536D" w:rsidTr="001B6FFE">
        <w:tc>
          <w:tcPr>
            <w:tcW w:w="2394" w:type="dxa"/>
          </w:tcPr>
          <w:p w:rsidR="00B5536D" w:rsidRDefault="00B5536D" w:rsidP="00764386">
            <w:pPr>
              <w:contextualSpacing/>
              <w:rPr>
                <w:rFonts w:ascii="Garamond" w:hAnsi="Garamond"/>
              </w:rPr>
            </w:pPr>
            <w:r>
              <w:rPr>
                <w:rFonts w:ascii="Garamond" w:hAnsi="Garamond"/>
              </w:rPr>
              <w:t>Less than 20%</w:t>
            </w:r>
          </w:p>
        </w:tc>
        <w:tc>
          <w:tcPr>
            <w:tcW w:w="2394" w:type="dxa"/>
          </w:tcPr>
          <w:p w:rsidR="00B5536D" w:rsidRDefault="00B5536D" w:rsidP="00764386">
            <w:pPr>
              <w:contextualSpacing/>
              <w:rPr>
                <w:rFonts w:ascii="Garamond" w:hAnsi="Garamond"/>
              </w:rPr>
            </w:pPr>
            <w:r>
              <w:rPr>
                <w:rFonts w:ascii="Garamond" w:hAnsi="Garamond"/>
              </w:rPr>
              <w:t>63.2%</w:t>
            </w:r>
          </w:p>
        </w:tc>
        <w:tc>
          <w:tcPr>
            <w:tcW w:w="2394" w:type="dxa"/>
          </w:tcPr>
          <w:p w:rsidR="00B5536D" w:rsidRDefault="00B5536D" w:rsidP="00764386">
            <w:pPr>
              <w:contextualSpacing/>
              <w:rPr>
                <w:rFonts w:ascii="Garamond" w:hAnsi="Garamond"/>
              </w:rPr>
            </w:pPr>
            <w:r>
              <w:rPr>
                <w:rFonts w:ascii="Garamond" w:hAnsi="Garamond"/>
              </w:rPr>
              <w:t>54.2%</w:t>
            </w:r>
          </w:p>
        </w:tc>
        <w:tc>
          <w:tcPr>
            <w:tcW w:w="2394" w:type="dxa"/>
          </w:tcPr>
          <w:p w:rsidR="00B5536D" w:rsidRDefault="00B5536D" w:rsidP="00764386">
            <w:pPr>
              <w:contextualSpacing/>
              <w:rPr>
                <w:rFonts w:ascii="Garamond" w:hAnsi="Garamond"/>
              </w:rPr>
            </w:pPr>
            <w:r>
              <w:rPr>
                <w:rFonts w:ascii="Garamond" w:hAnsi="Garamond"/>
              </w:rPr>
              <w:t>32.4%</w:t>
            </w:r>
          </w:p>
        </w:tc>
      </w:tr>
      <w:tr w:rsidR="00B5536D" w:rsidTr="001B6FFE">
        <w:tc>
          <w:tcPr>
            <w:tcW w:w="2394" w:type="dxa"/>
          </w:tcPr>
          <w:p w:rsidR="00B5536D" w:rsidRDefault="00B5536D" w:rsidP="00764386">
            <w:pPr>
              <w:contextualSpacing/>
              <w:rPr>
                <w:rFonts w:ascii="Garamond" w:hAnsi="Garamond"/>
              </w:rPr>
            </w:pPr>
            <w:r>
              <w:rPr>
                <w:rFonts w:ascii="Garamond" w:hAnsi="Garamond"/>
              </w:rPr>
              <w:t>20% to 24.9%</w:t>
            </w:r>
          </w:p>
        </w:tc>
        <w:tc>
          <w:tcPr>
            <w:tcW w:w="2394" w:type="dxa"/>
          </w:tcPr>
          <w:p w:rsidR="00B5536D" w:rsidRDefault="00B5536D" w:rsidP="00764386">
            <w:pPr>
              <w:contextualSpacing/>
              <w:rPr>
                <w:rFonts w:ascii="Garamond" w:hAnsi="Garamond"/>
              </w:rPr>
            </w:pPr>
            <w:r>
              <w:rPr>
                <w:rFonts w:ascii="Garamond" w:hAnsi="Garamond"/>
              </w:rPr>
              <w:t>4.6%</w:t>
            </w:r>
          </w:p>
        </w:tc>
        <w:tc>
          <w:tcPr>
            <w:tcW w:w="2394" w:type="dxa"/>
          </w:tcPr>
          <w:p w:rsidR="00B5536D" w:rsidRDefault="00B5536D" w:rsidP="00764386">
            <w:pPr>
              <w:contextualSpacing/>
              <w:rPr>
                <w:rFonts w:ascii="Garamond" w:hAnsi="Garamond"/>
              </w:rPr>
            </w:pPr>
            <w:r>
              <w:rPr>
                <w:rFonts w:ascii="Garamond" w:hAnsi="Garamond"/>
              </w:rPr>
              <w:t>9.7%</w:t>
            </w:r>
          </w:p>
        </w:tc>
        <w:tc>
          <w:tcPr>
            <w:tcW w:w="2394" w:type="dxa"/>
          </w:tcPr>
          <w:p w:rsidR="00B5536D" w:rsidRDefault="00B5536D" w:rsidP="00764386">
            <w:pPr>
              <w:contextualSpacing/>
              <w:rPr>
                <w:rFonts w:ascii="Garamond" w:hAnsi="Garamond"/>
              </w:rPr>
            </w:pPr>
            <w:r>
              <w:rPr>
                <w:rFonts w:ascii="Garamond" w:hAnsi="Garamond"/>
              </w:rPr>
              <w:t>19.9%</w:t>
            </w:r>
          </w:p>
        </w:tc>
      </w:tr>
      <w:tr w:rsidR="00B5536D" w:rsidTr="001B6FFE">
        <w:tc>
          <w:tcPr>
            <w:tcW w:w="2394" w:type="dxa"/>
          </w:tcPr>
          <w:p w:rsidR="00B5536D" w:rsidRDefault="00B5536D" w:rsidP="00764386">
            <w:pPr>
              <w:contextualSpacing/>
              <w:rPr>
                <w:rFonts w:ascii="Garamond" w:hAnsi="Garamond"/>
              </w:rPr>
            </w:pPr>
            <w:r>
              <w:rPr>
                <w:rFonts w:ascii="Garamond" w:hAnsi="Garamond"/>
              </w:rPr>
              <w:t>25% to 29.9%</w:t>
            </w:r>
          </w:p>
        </w:tc>
        <w:tc>
          <w:tcPr>
            <w:tcW w:w="2394" w:type="dxa"/>
          </w:tcPr>
          <w:p w:rsidR="00B5536D" w:rsidRDefault="00B5536D" w:rsidP="00764386">
            <w:pPr>
              <w:contextualSpacing/>
              <w:rPr>
                <w:rFonts w:ascii="Garamond" w:hAnsi="Garamond"/>
              </w:rPr>
            </w:pPr>
            <w:r>
              <w:rPr>
                <w:rFonts w:ascii="Garamond" w:hAnsi="Garamond"/>
              </w:rPr>
              <w:t>10.3%</w:t>
            </w:r>
          </w:p>
        </w:tc>
        <w:tc>
          <w:tcPr>
            <w:tcW w:w="2394" w:type="dxa"/>
          </w:tcPr>
          <w:p w:rsidR="00B5536D" w:rsidRDefault="00B5536D" w:rsidP="00764386">
            <w:pPr>
              <w:contextualSpacing/>
              <w:rPr>
                <w:rFonts w:ascii="Garamond" w:hAnsi="Garamond"/>
              </w:rPr>
            </w:pPr>
            <w:r>
              <w:rPr>
                <w:rFonts w:ascii="Garamond" w:hAnsi="Garamond"/>
              </w:rPr>
              <w:t>22.9%</w:t>
            </w:r>
          </w:p>
        </w:tc>
        <w:tc>
          <w:tcPr>
            <w:tcW w:w="2394" w:type="dxa"/>
          </w:tcPr>
          <w:p w:rsidR="00B5536D" w:rsidRDefault="00B5536D" w:rsidP="00764386">
            <w:pPr>
              <w:contextualSpacing/>
              <w:rPr>
                <w:rFonts w:ascii="Garamond" w:hAnsi="Garamond"/>
              </w:rPr>
            </w:pPr>
            <w:r>
              <w:rPr>
                <w:rFonts w:ascii="Garamond" w:hAnsi="Garamond"/>
              </w:rPr>
              <w:t>13.2%</w:t>
            </w:r>
          </w:p>
        </w:tc>
      </w:tr>
      <w:tr w:rsidR="00B5536D" w:rsidTr="001B6FFE">
        <w:tc>
          <w:tcPr>
            <w:tcW w:w="2394" w:type="dxa"/>
          </w:tcPr>
          <w:p w:rsidR="00B5536D" w:rsidRDefault="00B5536D" w:rsidP="00764386">
            <w:pPr>
              <w:contextualSpacing/>
              <w:rPr>
                <w:rFonts w:ascii="Garamond" w:hAnsi="Garamond"/>
              </w:rPr>
            </w:pPr>
            <w:r>
              <w:rPr>
                <w:rFonts w:ascii="Garamond" w:hAnsi="Garamond"/>
              </w:rPr>
              <w:t>30% to 34.9%</w:t>
            </w:r>
          </w:p>
        </w:tc>
        <w:tc>
          <w:tcPr>
            <w:tcW w:w="2394" w:type="dxa"/>
          </w:tcPr>
          <w:p w:rsidR="00B5536D" w:rsidRDefault="00B5536D" w:rsidP="00764386">
            <w:pPr>
              <w:contextualSpacing/>
              <w:rPr>
                <w:rFonts w:ascii="Garamond" w:hAnsi="Garamond"/>
              </w:rPr>
            </w:pPr>
            <w:r>
              <w:rPr>
                <w:rFonts w:ascii="Garamond" w:hAnsi="Garamond"/>
              </w:rPr>
              <w:t>13.8%</w:t>
            </w:r>
          </w:p>
        </w:tc>
        <w:tc>
          <w:tcPr>
            <w:tcW w:w="2394" w:type="dxa"/>
          </w:tcPr>
          <w:p w:rsidR="00B5536D" w:rsidRDefault="00B5536D" w:rsidP="00764386">
            <w:pPr>
              <w:contextualSpacing/>
              <w:rPr>
                <w:rFonts w:ascii="Garamond" w:hAnsi="Garamond"/>
              </w:rPr>
            </w:pPr>
            <w:r>
              <w:rPr>
                <w:rFonts w:ascii="Garamond" w:hAnsi="Garamond"/>
              </w:rPr>
              <w:t>0.0%</w:t>
            </w:r>
          </w:p>
        </w:tc>
        <w:tc>
          <w:tcPr>
            <w:tcW w:w="2394" w:type="dxa"/>
          </w:tcPr>
          <w:p w:rsidR="00B5536D" w:rsidRDefault="00B5536D" w:rsidP="00764386">
            <w:pPr>
              <w:contextualSpacing/>
              <w:rPr>
                <w:rFonts w:ascii="Garamond" w:hAnsi="Garamond"/>
              </w:rPr>
            </w:pPr>
            <w:r>
              <w:rPr>
                <w:rFonts w:ascii="Garamond" w:hAnsi="Garamond"/>
              </w:rPr>
              <w:t>0.0%</w:t>
            </w:r>
          </w:p>
        </w:tc>
      </w:tr>
      <w:tr w:rsidR="00B5536D" w:rsidTr="001B6FFE">
        <w:tc>
          <w:tcPr>
            <w:tcW w:w="2394" w:type="dxa"/>
          </w:tcPr>
          <w:p w:rsidR="00B5536D" w:rsidRDefault="00B5536D" w:rsidP="00764386">
            <w:pPr>
              <w:contextualSpacing/>
              <w:rPr>
                <w:rFonts w:ascii="Garamond" w:hAnsi="Garamond"/>
              </w:rPr>
            </w:pPr>
            <w:r>
              <w:rPr>
                <w:rFonts w:ascii="Garamond" w:hAnsi="Garamond"/>
              </w:rPr>
              <w:t>35% or more</w:t>
            </w:r>
          </w:p>
        </w:tc>
        <w:tc>
          <w:tcPr>
            <w:tcW w:w="2394" w:type="dxa"/>
          </w:tcPr>
          <w:p w:rsidR="00B5536D" w:rsidRDefault="00B5536D" w:rsidP="00764386">
            <w:pPr>
              <w:contextualSpacing/>
              <w:rPr>
                <w:rFonts w:ascii="Garamond" w:hAnsi="Garamond"/>
              </w:rPr>
            </w:pPr>
            <w:r>
              <w:rPr>
                <w:rFonts w:ascii="Garamond" w:hAnsi="Garamond"/>
              </w:rPr>
              <w:t>8.0%</w:t>
            </w:r>
          </w:p>
        </w:tc>
        <w:tc>
          <w:tcPr>
            <w:tcW w:w="2394" w:type="dxa"/>
          </w:tcPr>
          <w:p w:rsidR="00B5536D" w:rsidRDefault="00B5536D" w:rsidP="00764386">
            <w:pPr>
              <w:contextualSpacing/>
              <w:rPr>
                <w:rFonts w:ascii="Garamond" w:hAnsi="Garamond"/>
              </w:rPr>
            </w:pPr>
            <w:r>
              <w:rPr>
                <w:rFonts w:ascii="Garamond" w:hAnsi="Garamond"/>
              </w:rPr>
              <w:t>13.2%</w:t>
            </w:r>
          </w:p>
        </w:tc>
        <w:tc>
          <w:tcPr>
            <w:tcW w:w="2394" w:type="dxa"/>
          </w:tcPr>
          <w:p w:rsidR="00B5536D" w:rsidRDefault="00B5536D" w:rsidP="00EE571F">
            <w:pPr>
              <w:keepNext/>
              <w:contextualSpacing/>
              <w:rPr>
                <w:rFonts w:ascii="Garamond" w:hAnsi="Garamond"/>
              </w:rPr>
            </w:pPr>
            <w:r>
              <w:rPr>
                <w:rFonts w:ascii="Garamond" w:hAnsi="Garamond"/>
              </w:rPr>
              <w:t>34.6%</w:t>
            </w:r>
          </w:p>
        </w:tc>
      </w:tr>
    </w:tbl>
    <w:p w:rsidR="00B5536D" w:rsidRPr="00B40DBA" w:rsidRDefault="00EE571F" w:rsidP="00EE571F">
      <w:pPr>
        <w:pStyle w:val="Caption"/>
      </w:pPr>
      <w:r>
        <w:t xml:space="preserve">Figure </w:t>
      </w:r>
      <w:fldSimple w:instr=" SEQ Figure \* ARABIC ">
        <w:r w:rsidR="00707511">
          <w:rPr>
            <w:noProof/>
          </w:rPr>
          <w:t>37</w:t>
        </w:r>
      </w:fldSimple>
    </w:p>
    <w:p w:rsidR="00355BC6" w:rsidRDefault="00355BC6" w:rsidP="00EE571F">
      <w:pPr>
        <w:spacing w:line="240" w:lineRule="auto"/>
        <w:contextualSpacing/>
        <w:rPr>
          <w:b/>
          <w:color w:val="4E5612"/>
          <w:sz w:val="25"/>
        </w:rPr>
      </w:pPr>
    </w:p>
    <w:p w:rsidR="00355BC6" w:rsidRDefault="00355BC6" w:rsidP="00EE571F">
      <w:pPr>
        <w:spacing w:line="240" w:lineRule="auto"/>
        <w:contextualSpacing/>
        <w:rPr>
          <w:b/>
          <w:color w:val="4E5612"/>
          <w:sz w:val="25"/>
        </w:rPr>
      </w:pPr>
    </w:p>
    <w:p w:rsidR="00355BC6" w:rsidRDefault="00355BC6" w:rsidP="00EE571F">
      <w:pPr>
        <w:spacing w:line="240" w:lineRule="auto"/>
        <w:contextualSpacing/>
        <w:rPr>
          <w:b/>
          <w:color w:val="4E5612"/>
          <w:sz w:val="25"/>
        </w:rPr>
      </w:pPr>
    </w:p>
    <w:p w:rsidR="00355BC6" w:rsidRDefault="00355BC6" w:rsidP="00EE571F">
      <w:pPr>
        <w:spacing w:line="240" w:lineRule="auto"/>
        <w:contextualSpacing/>
        <w:rPr>
          <w:b/>
          <w:color w:val="4E5612"/>
          <w:sz w:val="25"/>
        </w:rPr>
      </w:pPr>
    </w:p>
    <w:p w:rsidR="00355BC6" w:rsidRDefault="00355BC6" w:rsidP="00EE571F">
      <w:pPr>
        <w:spacing w:line="240" w:lineRule="auto"/>
        <w:contextualSpacing/>
        <w:rPr>
          <w:b/>
          <w:color w:val="4E5612"/>
          <w:sz w:val="25"/>
        </w:rPr>
      </w:pPr>
    </w:p>
    <w:p w:rsidR="00355BC6" w:rsidRDefault="00355BC6" w:rsidP="00EE571F">
      <w:pPr>
        <w:spacing w:line="240" w:lineRule="auto"/>
        <w:contextualSpacing/>
        <w:rPr>
          <w:b/>
          <w:color w:val="4E5612"/>
          <w:sz w:val="25"/>
        </w:rPr>
      </w:pPr>
    </w:p>
    <w:p w:rsidR="00355BC6" w:rsidRDefault="00355BC6" w:rsidP="00EE571F">
      <w:pPr>
        <w:spacing w:line="240" w:lineRule="auto"/>
        <w:contextualSpacing/>
        <w:rPr>
          <w:b/>
          <w:color w:val="4E5612"/>
          <w:sz w:val="25"/>
        </w:rPr>
      </w:pPr>
    </w:p>
    <w:p w:rsidR="00355BC6" w:rsidRDefault="00355BC6" w:rsidP="00EE571F">
      <w:pPr>
        <w:spacing w:line="240" w:lineRule="auto"/>
        <w:contextualSpacing/>
        <w:rPr>
          <w:b/>
          <w:color w:val="4E5612"/>
          <w:sz w:val="25"/>
        </w:rPr>
      </w:pPr>
    </w:p>
    <w:p w:rsidR="00355BC6" w:rsidRDefault="00355BC6" w:rsidP="00EE571F">
      <w:pPr>
        <w:spacing w:line="240" w:lineRule="auto"/>
        <w:contextualSpacing/>
        <w:rPr>
          <w:b/>
          <w:color w:val="4E5612"/>
          <w:sz w:val="25"/>
        </w:rPr>
      </w:pPr>
    </w:p>
    <w:p w:rsidR="00EE571F" w:rsidRDefault="00B5536D" w:rsidP="00EE571F">
      <w:pPr>
        <w:spacing w:line="240" w:lineRule="auto"/>
        <w:contextualSpacing/>
      </w:pPr>
      <w:r w:rsidRPr="00B864AC">
        <w:rPr>
          <w:b/>
          <w:color w:val="4E5612"/>
          <w:sz w:val="25"/>
        </w:rPr>
        <w:lastRenderedPageBreak/>
        <w:t>Home Value</w:t>
      </w:r>
    </w:p>
    <w:p w:rsidR="00B5536D" w:rsidRDefault="00B5536D" w:rsidP="00764386">
      <w:pPr>
        <w:spacing w:line="240" w:lineRule="auto"/>
        <w:contextualSpacing/>
      </w:pPr>
      <w:r>
        <w:t xml:space="preserve">According to the 2010 Census, there were a </w:t>
      </w:r>
      <w:r w:rsidRPr="00B40DBA">
        <w:t xml:space="preserve">total </w:t>
      </w:r>
      <w:r>
        <w:t xml:space="preserve">of 451 </w:t>
      </w:r>
      <w:r w:rsidRPr="00B40DBA">
        <w:t>housing units.  Owner occupied housing units were 299, and renter occupied housing units were 98.</w:t>
      </w:r>
      <w:r w:rsidR="00EE571F" w:rsidRPr="00EE571F">
        <w:rPr>
          <w:rStyle w:val="FootnoteReference"/>
        </w:rPr>
        <w:t xml:space="preserve"> </w:t>
      </w:r>
      <w:r w:rsidR="00EE571F" w:rsidRPr="00B40DBA">
        <w:rPr>
          <w:rStyle w:val="FootnoteReference"/>
        </w:rPr>
        <w:footnoteReference w:id="49"/>
      </w:r>
      <w:r w:rsidRPr="00B40DBA">
        <w:t xml:space="preserve"> There were 54 vacant housing units.</w:t>
      </w:r>
      <w:r w:rsidRPr="00B40DBA">
        <w:rPr>
          <w:rStyle w:val="FootnoteReference"/>
        </w:rPr>
        <w:footnoteReference w:id="50"/>
      </w:r>
    </w:p>
    <w:tbl>
      <w:tblPr>
        <w:tblStyle w:val="TableGrid"/>
        <w:tblpPr w:leftFromText="180" w:rightFromText="180" w:vertAnchor="text" w:tblpY="1"/>
        <w:tblOverlap w:val="neve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14"/>
        <w:gridCol w:w="3206"/>
        <w:gridCol w:w="2886"/>
      </w:tblGrid>
      <w:tr w:rsidR="00B5536D" w:rsidTr="001B6FFE">
        <w:trPr>
          <w:trHeight w:val="275"/>
        </w:trPr>
        <w:tc>
          <w:tcPr>
            <w:tcW w:w="3014" w:type="dxa"/>
          </w:tcPr>
          <w:p w:rsidR="00B5536D" w:rsidRPr="00C00752" w:rsidRDefault="00B5536D" w:rsidP="00764386">
            <w:pPr>
              <w:contextualSpacing/>
              <w:rPr>
                <w:rFonts w:ascii="Garamond" w:hAnsi="Garamond"/>
                <w:b/>
              </w:rPr>
            </w:pPr>
            <w:r>
              <w:rPr>
                <w:rFonts w:ascii="Garamond" w:hAnsi="Garamond"/>
                <w:b/>
              </w:rPr>
              <w:t xml:space="preserve">Home </w:t>
            </w:r>
            <w:r w:rsidRPr="00C00752">
              <w:rPr>
                <w:rFonts w:ascii="Garamond" w:hAnsi="Garamond"/>
                <w:b/>
              </w:rPr>
              <w:t>Value</w:t>
            </w:r>
          </w:p>
        </w:tc>
        <w:tc>
          <w:tcPr>
            <w:tcW w:w="3206" w:type="dxa"/>
          </w:tcPr>
          <w:p w:rsidR="00B5536D" w:rsidRPr="00C00752" w:rsidRDefault="00B5536D" w:rsidP="00764386">
            <w:pPr>
              <w:contextualSpacing/>
              <w:jc w:val="center"/>
              <w:rPr>
                <w:rFonts w:ascii="Garamond" w:hAnsi="Garamond"/>
                <w:b/>
              </w:rPr>
            </w:pPr>
            <w:r w:rsidRPr="00C00752">
              <w:rPr>
                <w:rFonts w:ascii="Garamond" w:hAnsi="Garamond"/>
                <w:b/>
              </w:rPr>
              <w:t>Owner Occupied Units</w:t>
            </w:r>
          </w:p>
        </w:tc>
        <w:tc>
          <w:tcPr>
            <w:tcW w:w="2886" w:type="dxa"/>
          </w:tcPr>
          <w:p w:rsidR="00B5536D" w:rsidRPr="00C00752" w:rsidRDefault="00B5536D" w:rsidP="00764386">
            <w:pPr>
              <w:contextualSpacing/>
              <w:jc w:val="center"/>
              <w:rPr>
                <w:rFonts w:ascii="Garamond" w:hAnsi="Garamond"/>
                <w:b/>
              </w:rPr>
            </w:pPr>
            <w:r>
              <w:rPr>
                <w:rFonts w:ascii="Garamond" w:hAnsi="Garamond"/>
                <w:b/>
              </w:rPr>
              <w:t>Percent of Total Units</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0 to $49,999</w:t>
            </w:r>
          </w:p>
        </w:tc>
        <w:tc>
          <w:tcPr>
            <w:tcW w:w="3206" w:type="dxa"/>
          </w:tcPr>
          <w:p w:rsidR="00B5536D" w:rsidRDefault="00B5536D" w:rsidP="00764386">
            <w:pPr>
              <w:contextualSpacing/>
              <w:jc w:val="center"/>
              <w:rPr>
                <w:rFonts w:ascii="Garamond" w:hAnsi="Garamond"/>
              </w:rPr>
            </w:pPr>
            <w:r>
              <w:rPr>
                <w:rFonts w:ascii="Garamond" w:hAnsi="Garamond"/>
              </w:rPr>
              <w:t>56</w:t>
            </w:r>
          </w:p>
        </w:tc>
        <w:tc>
          <w:tcPr>
            <w:tcW w:w="2886" w:type="dxa"/>
          </w:tcPr>
          <w:p w:rsidR="00B5536D" w:rsidRDefault="00B5536D" w:rsidP="00764386">
            <w:pPr>
              <w:contextualSpacing/>
              <w:jc w:val="center"/>
              <w:rPr>
                <w:rFonts w:ascii="Garamond" w:hAnsi="Garamond"/>
              </w:rPr>
            </w:pPr>
            <w:r>
              <w:rPr>
                <w:rFonts w:ascii="Garamond" w:hAnsi="Garamond"/>
              </w:rPr>
              <w:t>24.2%</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$50,000 to $99,999</w:t>
            </w:r>
          </w:p>
        </w:tc>
        <w:tc>
          <w:tcPr>
            <w:tcW w:w="3206" w:type="dxa"/>
          </w:tcPr>
          <w:p w:rsidR="00B5536D" w:rsidRDefault="00B5536D" w:rsidP="00764386">
            <w:pPr>
              <w:contextualSpacing/>
              <w:jc w:val="center"/>
              <w:rPr>
                <w:rFonts w:ascii="Garamond" w:hAnsi="Garamond"/>
              </w:rPr>
            </w:pPr>
            <w:r>
              <w:rPr>
                <w:rFonts w:ascii="Garamond" w:hAnsi="Garamond"/>
              </w:rPr>
              <w:t>57</w:t>
            </w:r>
          </w:p>
        </w:tc>
        <w:tc>
          <w:tcPr>
            <w:tcW w:w="2886" w:type="dxa"/>
          </w:tcPr>
          <w:p w:rsidR="00B5536D" w:rsidRDefault="00B5536D" w:rsidP="00764386">
            <w:pPr>
              <w:contextualSpacing/>
              <w:jc w:val="center"/>
              <w:rPr>
                <w:rFonts w:ascii="Garamond" w:hAnsi="Garamond"/>
              </w:rPr>
            </w:pPr>
            <w:r>
              <w:rPr>
                <w:rFonts w:ascii="Garamond" w:hAnsi="Garamond"/>
              </w:rPr>
              <w:t>24.7%</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$100,000 to $149,999</w:t>
            </w:r>
          </w:p>
        </w:tc>
        <w:tc>
          <w:tcPr>
            <w:tcW w:w="3206" w:type="dxa"/>
          </w:tcPr>
          <w:p w:rsidR="00B5536D" w:rsidRDefault="00B5536D" w:rsidP="00764386">
            <w:pPr>
              <w:contextualSpacing/>
              <w:jc w:val="center"/>
              <w:rPr>
                <w:rFonts w:ascii="Garamond" w:hAnsi="Garamond"/>
              </w:rPr>
            </w:pPr>
            <w:r>
              <w:rPr>
                <w:rFonts w:ascii="Garamond" w:hAnsi="Garamond"/>
              </w:rPr>
              <w:t>83</w:t>
            </w:r>
          </w:p>
        </w:tc>
        <w:tc>
          <w:tcPr>
            <w:tcW w:w="2886" w:type="dxa"/>
          </w:tcPr>
          <w:p w:rsidR="00B5536D" w:rsidRDefault="00B5536D" w:rsidP="00764386">
            <w:pPr>
              <w:contextualSpacing/>
              <w:jc w:val="center"/>
              <w:rPr>
                <w:rFonts w:ascii="Garamond" w:hAnsi="Garamond"/>
              </w:rPr>
            </w:pPr>
            <w:r>
              <w:rPr>
                <w:rFonts w:ascii="Garamond" w:hAnsi="Garamond"/>
              </w:rPr>
              <w:t>35.9%</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$150,000 to $199,999</w:t>
            </w:r>
          </w:p>
        </w:tc>
        <w:tc>
          <w:tcPr>
            <w:tcW w:w="3206" w:type="dxa"/>
          </w:tcPr>
          <w:p w:rsidR="00B5536D" w:rsidRDefault="00B5536D" w:rsidP="00764386">
            <w:pPr>
              <w:contextualSpacing/>
              <w:jc w:val="center"/>
              <w:rPr>
                <w:rFonts w:ascii="Garamond" w:hAnsi="Garamond"/>
              </w:rPr>
            </w:pPr>
            <w:r>
              <w:rPr>
                <w:rFonts w:ascii="Garamond" w:hAnsi="Garamond"/>
              </w:rPr>
              <w:t>20</w:t>
            </w:r>
          </w:p>
        </w:tc>
        <w:tc>
          <w:tcPr>
            <w:tcW w:w="2886" w:type="dxa"/>
          </w:tcPr>
          <w:p w:rsidR="00B5536D" w:rsidRDefault="00B5536D" w:rsidP="00764386">
            <w:pPr>
              <w:contextualSpacing/>
              <w:jc w:val="center"/>
              <w:rPr>
                <w:rFonts w:ascii="Garamond" w:hAnsi="Garamond"/>
              </w:rPr>
            </w:pPr>
            <w:r>
              <w:rPr>
                <w:rFonts w:ascii="Garamond" w:hAnsi="Garamond"/>
              </w:rPr>
              <w:t>8.7%</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$200,000 to $299,999</w:t>
            </w:r>
          </w:p>
        </w:tc>
        <w:tc>
          <w:tcPr>
            <w:tcW w:w="3206" w:type="dxa"/>
          </w:tcPr>
          <w:p w:rsidR="00B5536D" w:rsidRDefault="00B5536D" w:rsidP="00764386">
            <w:pPr>
              <w:contextualSpacing/>
              <w:jc w:val="center"/>
              <w:rPr>
                <w:rFonts w:ascii="Garamond" w:hAnsi="Garamond"/>
              </w:rPr>
            </w:pPr>
            <w:r>
              <w:rPr>
                <w:rFonts w:ascii="Garamond" w:hAnsi="Garamond"/>
              </w:rPr>
              <w:t>4</w:t>
            </w:r>
          </w:p>
        </w:tc>
        <w:tc>
          <w:tcPr>
            <w:tcW w:w="2886" w:type="dxa"/>
          </w:tcPr>
          <w:p w:rsidR="00B5536D" w:rsidRDefault="00B5536D" w:rsidP="00764386">
            <w:pPr>
              <w:contextualSpacing/>
              <w:jc w:val="center"/>
              <w:rPr>
                <w:rFonts w:ascii="Garamond" w:hAnsi="Garamond"/>
              </w:rPr>
            </w:pPr>
            <w:r>
              <w:rPr>
                <w:rFonts w:ascii="Garamond" w:hAnsi="Garamond"/>
              </w:rPr>
              <w:t>1.7%</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$300,000 to $499,999</w:t>
            </w:r>
          </w:p>
        </w:tc>
        <w:tc>
          <w:tcPr>
            <w:tcW w:w="3206" w:type="dxa"/>
          </w:tcPr>
          <w:p w:rsidR="00B5536D" w:rsidRDefault="00B5536D" w:rsidP="00764386">
            <w:pPr>
              <w:contextualSpacing/>
              <w:jc w:val="center"/>
              <w:rPr>
                <w:rFonts w:ascii="Garamond" w:hAnsi="Garamond"/>
              </w:rPr>
            </w:pPr>
            <w:r>
              <w:rPr>
                <w:rFonts w:ascii="Garamond" w:hAnsi="Garamond"/>
              </w:rPr>
              <w:t>11</w:t>
            </w:r>
          </w:p>
        </w:tc>
        <w:tc>
          <w:tcPr>
            <w:tcW w:w="2886" w:type="dxa"/>
          </w:tcPr>
          <w:p w:rsidR="00B5536D" w:rsidRDefault="00B5536D" w:rsidP="00764386">
            <w:pPr>
              <w:contextualSpacing/>
              <w:jc w:val="center"/>
              <w:rPr>
                <w:rFonts w:ascii="Garamond" w:hAnsi="Garamond"/>
              </w:rPr>
            </w:pPr>
            <w:r>
              <w:rPr>
                <w:rFonts w:ascii="Garamond" w:hAnsi="Garamond"/>
              </w:rPr>
              <w:t>4.8%</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$500,000 to $999,999</w:t>
            </w:r>
          </w:p>
        </w:tc>
        <w:tc>
          <w:tcPr>
            <w:tcW w:w="3206" w:type="dxa"/>
          </w:tcPr>
          <w:p w:rsidR="00B5536D" w:rsidRDefault="00B5536D" w:rsidP="00764386">
            <w:pPr>
              <w:contextualSpacing/>
              <w:jc w:val="center"/>
              <w:rPr>
                <w:rFonts w:ascii="Garamond" w:hAnsi="Garamond"/>
              </w:rPr>
            </w:pPr>
            <w:r>
              <w:rPr>
                <w:rFonts w:ascii="Garamond" w:hAnsi="Garamond"/>
              </w:rPr>
              <w:t>0</w:t>
            </w:r>
          </w:p>
        </w:tc>
        <w:tc>
          <w:tcPr>
            <w:tcW w:w="2886" w:type="dxa"/>
          </w:tcPr>
          <w:p w:rsidR="00B5536D" w:rsidRDefault="00B5536D" w:rsidP="00764386">
            <w:pPr>
              <w:contextualSpacing/>
              <w:jc w:val="center"/>
              <w:rPr>
                <w:rFonts w:ascii="Garamond" w:hAnsi="Garamond"/>
              </w:rPr>
            </w:pPr>
            <w:r>
              <w:rPr>
                <w:rFonts w:ascii="Garamond" w:hAnsi="Garamond"/>
              </w:rPr>
              <w:t>0%</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$1,000,000 or more</w:t>
            </w:r>
          </w:p>
        </w:tc>
        <w:tc>
          <w:tcPr>
            <w:tcW w:w="3206" w:type="dxa"/>
          </w:tcPr>
          <w:p w:rsidR="00B5536D" w:rsidRDefault="00B5536D" w:rsidP="00764386">
            <w:pPr>
              <w:contextualSpacing/>
              <w:jc w:val="center"/>
              <w:rPr>
                <w:rFonts w:ascii="Garamond" w:hAnsi="Garamond"/>
              </w:rPr>
            </w:pPr>
            <w:r>
              <w:rPr>
                <w:rFonts w:ascii="Garamond" w:hAnsi="Garamond"/>
              </w:rPr>
              <w:t>0</w:t>
            </w:r>
          </w:p>
        </w:tc>
        <w:tc>
          <w:tcPr>
            <w:tcW w:w="2886" w:type="dxa"/>
          </w:tcPr>
          <w:p w:rsidR="00B5536D" w:rsidRDefault="00B5536D" w:rsidP="00764386">
            <w:pPr>
              <w:contextualSpacing/>
              <w:jc w:val="center"/>
              <w:rPr>
                <w:rFonts w:ascii="Garamond" w:hAnsi="Garamond"/>
              </w:rPr>
            </w:pPr>
            <w:r>
              <w:rPr>
                <w:rFonts w:ascii="Garamond" w:hAnsi="Garamond"/>
              </w:rPr>
              <w:t>0%</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Total</w:t>
            </w:r>
          </w:p>
        </w:tc>
        <w:tc>
          <w:tcPr>
            <w:tcW w:w="3206" w:type="dxa"/>
          </w:tcPr>
          <w:p w:rsidR="00B5536D" w:rsidRDefault="00B5536D" w:rsidP="00764386">
            <w:pPr>
              <w:contextualSpacing/>
              <w:jc w:val="center"/>
              <w:rPr>
                <w:rFonts w:ascii="Garamond" w:hAnsi="Garamond"/>
              </w:rPr>
            </w:pPr>
            <w:r>
              <w:rPr>
                <w:rFonts w:ascii="Garamond" w:hAnsi="Garamond"/>
              </w:rPr>
              <w:t>231</w:t>
            </w:r>
          </w:p>
        </w:tc>
        <w:tc>
          <w:tcPr>
            <w:tcW w:w="2886" w:type="dxa"/>
          </w:tcPr>
          <w:p w:rsidR="00B5536D" w:rsidRDefault="00B5536D" w:rsidP="00EE571F">
            <w:pPr>
              <w:keepNext/>
              <w:contextualSpacing/>
              <w:jc w:val="center"/>
              <w:rPr>
                <w:rFonts w:ascii="Garamond" w:hAnsi="Garamond"/>
              </w:rPr>
            </w:pPr>
            <w:r>
              <w:rPr>
                <w:rFonts w:ascii="Garamond" w:hAnsi="Garamond"/>
              </w:rPr>
              <w:t>100%</w:t>
            </w:r>
          </w:p>
        </w:tc>
      </w:tr>
    </w:tbl>
    <w:p w:rsidR="00EE571F" w:rsidRDefault="00EE571F" w:rsidP="00EE571F">
      <w:pPr>
        <w:pStyle w:val="Caption"/>
        <w:framePr w:hSpace="180" w:wrap="around" w:vAnchor="text" w:hAnchor="text" w:y="1"/>
        <w:suppressOverlap/>
      </w:pPr>
      <w:r>
        <w:t xml:space="preserve">Figure </w:t>
      </w:r>
      <w:fldSimple w:instr=" SEQ Figure \* ARABIC ">
        <w:r w:rsidR="00707511">
          <w:rPr>
            <w:noProof/>
          </w:rPr>
          <w:t>38</w:t>
        </w:r>
      </w:fldSimple>
    </w:p>
    <w:p w:rsidR="00B5536D" w:rsidRPr="00B40DBA" w:rsidRDefault="00B5536D" w:rsidP="00764386">
      <w:pPr>
        <w:spacing w:line="240" w:lineRule="auto"/>
        <w:contextualSpacing/>
      </w:pPr>
    </w:p>
    <w:p w:rsidR="00EE571F" w:rsidRDefault="00EE571F"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t>Available Housing</w:t>
      </w:r>
    </w:p>
    <w:p w:rsidR="00B5536D" w:rsidRPr="00B40DBA" w:rsidRDefault="00B5536D" w:rsidP="00764386">
      <w:pPr>
        <w:spacing w:line="240" w:lineRule="auto"/>
        <w:contextualSpacing/>
      </w:pPr>
      <w:r w:rsidRPr="00B40DBA">
        <w:t>According to the census there are 54 vacant housing units out of 451 in Ashton representing 12% of available housing with vacancies.</w:t>
      </w:r>
      <w:r w:rsidRPr="00B40DBA">
        <w:rPr>
          <w:rStyle w:val="FootnoteReference"/>
        </w:rPr>
        <w:footnoteReference w:id="51"/>
      </w:r>
      <w:r w:rsidRPr="00B40DBA">
        <w:t xml:space="preserve">  There are 26 homes for sale and one for rent on SnakeRiverMLS.com</w:t>
      </w:r>
      <w:r>
        <w:t xml:space="preserve"> with an average listing price of</w:t>
      </w:r>
      <w:r w:rsidRPr="00B40DBA">
        <w:t xml:space="preserve"> </w:t>
      </w:r>
      <w:r>
        <w:t>$</w:t>
      </w:r>
      <w:r w:rsidRPr="00B40DBA">
        <w:t>220</w:t>
      </w:r>
      <w:r>
        <w:t>,000.</w:t>
      </w:r>
      <w:r w:rsidRPr="00B40DBA">
        <w:rPr>
          <w:rStyle w:val="FootnoteReference"/>
        </w:rPr>
        <w:footnoteReference w:id="52"/>
      </w:r>
      <w:r w:rsidRPr="00B40DBA">
        <w:t xml:space="preserve"> </w:t>
      </w:r>
      <w:r>
        <w:t xml:space="preserve">The average is skewed upwards due to a few outliers in the sample. </w:t>
      </w:r>
    </w:p>
    <w:p w:rsidR="00AA2CEB" w:rsidRDefault="00AA2CEB">
      <w:pPr>
        <w:rPr>
          <w:rFonts w:eastAsiaTheme="majorEastAsia" w:cstheme="majorBidi"/>
          <w:b/>
          <w:bCs/>
          <w:color w:val="4E5612"/>
          <w:sz w:val="26"/>
          <w:szCs w:val="26"/>
        </w:rPr>
      </w:pPr>
      <w:r>
        <w:rPr>
          <w:color w:val="4E5612"/>
        </w:rPr>
        <w:br w:type="page"/>
      </w:r>
    </w:p>
    <w:p w:rsidR="00B5536D" w:rsidRPr="00B85456" w:rsidRDefault="00B5536D" w:rsidP="00764386">
      <w:pPr>
        <w:pStyle w:val="Heading2"/>
        <w:spacing w:line="240" w:lineRule="auto"/>
        <w:contextualSpacing/>
        <w:rPr>
          <w:color w:val="4E5612"/>
        </w:rPr>
      </w:pPr>
      <w:bookmarkStart w:id="14" w:name="_Toc329954139"/>
      <w:r w:rsidRPr="00B85456">
        <w:rPr>
          <w:color w:val="4E5612"/>
        </w:rPr>
        <w:lastRenderedPageBreak/>
        <w:t>Island Park, Idaho</w:t>
      </w:r>
      <w:bookmarkEnd w:id="14"/>
    </w:p>
    <w:p w:rsidR="00A77B10" w:rsidRDefault="00A77B10"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t>Population</w:t>
      </w:r>
    </w:p>
    <w:p w:rsidR="00B5536D" w:rsidRPr="00CD6EFD" w:rsidRDefault="00B5536D" w:rsidP="00764386">
      <w:pPr>
        <w:spacing w:line="240" w:lineRule="auto"/>
        <w:contextualSpacing/>
      </w:pPr>
      <w:r w:rsidRPr="00CD6EFD">
        <w:t xml:space="preserve">According to the 2010 United Census report Island Park, Idaho had a population of 286.  The male population was 153 with a median age of 43.5 years.  Female population was 133 with median age of 46.8 years.  96.9% of the population is white.  19.2% of population is under 18 years old.  This appears to have an older population base. </w:t>
      </w:r>
      <w:r w:rsidRPr="00CD6EFD">
        <w:rPr>
          <w:rStyle w:val="FootnoteReference"/>
        </w:rPr>
        <w:footnoteReference w:id="53"/>
      </w:r>
    </w:p>
    <w:p w:rsidR="00B85456" w:rsidRDefault="00B85456"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t>Age</w:t>
      </w:r>
    </w:p>
    <w:p w:rsidR="00B5536D" w:rsidRPr="00CD6EFD" w:rsidRDefault="00B5536D" w:rsidP="00764386">
      <w:pPr>
        <w:spacing w:line="240" w:lineRule="auto"/>
        <w:contextualSpacing/>
      </w:pPr>
      <w:r w:rsidRPr="00CD6EFD">
        <w:t xml:space="preserve">In the 2010 Census report, Island Park had a median age of 45 years. Below is the age breakdown of the county population.  The population appears to be heavy on older people possibly in early retirement. </w:t>
      </w:r>
      <w:r w:rsidRPr="00CD6EFD">
        <w:rPr>
          <w:rStyle w:val="FootnoteReference"/>
        </w:rPr>
        <w:footnoteReference w:id="54"/>
      </w:r>
    </w:p>
    <w:p w:rsidR="00B5536D" w:rsidRPr="00CD6EFD" w:rsidRDefault="00B5536D" w:rsidP="00764386">
      <w:pPr>
        <w:spacing w:line="240" w:lineRule="auto"/>
        <w:contextualSpacing/>
      </w:pPr>
    </w:p>
    <w:tbl>
      <w:tblPr>
        <w:tblW w:w="2120" w:type="dxa"/>
        <w:jc w:val="center"/>
        <w:tblInd w:w="2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060"/>
      </w:tblGrid>
      <w:tr w:rsidR="00B5536D" w:rsidRPr="00CD6EFD" w:rsidTr="001B6FFE">
        <w:trPr>
          <w:trHeight w:val="240"/>
          <w:jc w:val="center"/>
        </w:trPr>
        <w:tc>
          <w:tcPr>
            <w:tcW w:w="2120" w:type="dxa"/>
            <w:gridSpan w:val="2"/>
            <w:shd w:val="clear" w:color="auto" w:fill="auto"/>
            <w:noWrap/>
            <w:vAlign w:val="bottom"/>
          </w:tcPr>
          <w:p w:rsidR="00B5536D" w:rsidRPr="00CD6EFD" w:rsidRDefault="00B5536D" w:rsidP="00764386">
            <w:pPr>
              <w:spacing w:line="240" w:lineRule="auto"/>
              <w:contextualSpacing/>
              <w:jc w:val="center"/>
              <w:rPr>
                <w:szCs w:val="20"/>
              </w:rPr>
            </w:pPr>
            <w:r w:rsidRPr="00CD6EFD">
              <w:rPr>
                <w:szCs w:val="20"/>
              </w:rPr>
              <w:t>Island Park</w:t>
            </w:r>
          </w:p>
        </w:tc>
      </w:tr>
      <w:tr w:rsidR="00B5536D" w:rsidRPr="00CD6EFD" w:rsidTr="001B6FFE">
        <w:trPr>
          <w:trHeight w:val="240"/>
          <w:jc w:val="center"/>
        </w:trPr>
        <w:tc>
          <w:tcPr>
            <w:tcW w:w="1060" w:type="dxa"/>
            <w:shd w:val="clear" w:color="auto" w:fill="auto"/>
            <w:noWrap/>
            <w:vAlign w:val="bottom"/>
          </w:tcPr>
          <w:p w:rsidR="00B5536D" w:rsidRPr="00CD6EFD" w:rsidRDefault="00B5536D" w:rsidP="00764386">
            <w:pPr>
              <w:spacing w:line="240" w:lineRule="auto"/>
              <w:contextualSpacing/>
              <w:rPr>
                <w:szCs w:val="20"/>
              </w:rPr>
            </w:pPr>
            <w:r w:rsidRPr="00CD6EFD">
              <w:rPr>
                <w:szCs w:val="20"/>
              </w:rPr>
              <w:t>Age</w:t>
            </w:r>
          </w:p>
        </w:tc>
        <w:tc>
          <w:tcPr>
            <w:tcW w:w="1060" w:type="dxa"/>
            <w:shd w:val="clear" w:color="auto" w:fill="auto"/>
            <w:noWrap/>
            <w:vAlign w:val="bottom"/>
          </w:tcPr>
          <w:p w:rsidR="00B5536D" w:rsidRPr="00CD6EFD" w:rsidRDefault="00B5536D" w:rsidP="00764386">
            <w:pPr>
              <w:spacing w:line="240" w:lineRule="auto"/>
              <w:contextualSpacing/>
              <w:rPr>
                <w:szCs w:val="20"/>
              </w:rPr>
            </w:pPr>
            <w:r w:rsidRPr="00CD6EFD">
              <w:rPr>
                <w:szCs w:val="20"/>
              </w:rPr>
              <w:t>Number</w:t>
            </w:r>
          </w:p>
        </w:tc>
      </w:tr>
      <w:tr w:rsidR="00B5536D" w:rsidRPr="00CD6EFD" w:rsidTr="001B6FFE">
        <w:trPr>
          <w:trHeight w:val="240"/>
          <w:jc w:val="center"/>
        </w:trPr>
        <w:tc>
          <w:tcPr>
            <w:tcW w:w="1060" w:type="dxa"/>
            <w:shd w:val="clear" w:color="auto" w:fill="auto"/>
            <w:noWrap/>
            <w:vAlign w:val="bottom"/>
          </w:tcPr>
          <w:p w:rsidR="00B5536D" w:rsidRPr="00CD6EFD" w:rsidRDefault="00B5536D" w:rsidP="00764386">
            <w:pPr>
              <w:spacing w:line="240" w:lineRule="auto"/>
              <w:contextualSpacing/>
              <w:rPr>
                <w:szCs w:val="20"/>
              </w:rPr>
            </w:pPr>
            <w:r w:rsidRPr="00CD6EFD">
              <w:rPr>
                <w:szCs w:val="20"/>
              </w:rPr>
              <w:t>Under 9</w:t>
            </w:r>
          </w:p>
        </w:tc>
        <w:tc>
          <w:tcPr>
            <w:tcW w:w="1060" w:type="dxa"/>
            <w:shd w:val="clear" w:color="auto" w:fill="auto"/>
            <w:noWrap/>
            <w:vAlign w:val="bottom"/>
          </w:tcPr>
          <w:p w:rsidR="00B5536D" w:rsidRPr="00CD6EFD" w:rsidRDefault="00B5536D" w:rsidP="00764386">
            <w:pPr>
              <w:spacing w:line="240" w:lineRule="auto"/>
              <w:contextualSpacing/>
              <w:jc w:val="right"/>
              <w:rPr>
                <w:szCs w:val="20"/>
              </w:rPr>
            </w:pPr>
            <w:r w:rsidRPr="00CD6EFD">
              <w:rPr>
                <w:szCs w:val="20"/>
              </w:rPr>
              <w:t>27</w:t>
            </w:r>
          </w:p>
        </w:tc>
      </w:tr>
      <w:tr w:rsidR="00B5536D" w:rsidRPr="00CD6EFD" w:rsidTr="001B6FFE">
        <w:trPr>
          <w:trHeight w:val="240"/>
          <w:jc w:val="center"/>
        </w:trPr>
        <w:tc>
          <w:tcPr>
            <w:tcW w:w="1060" w:type="dxa"/>
            <w:shd w:val="clear" w:color="auto" w:fill="auto"/>
            <w:noWrap/>
            <w:vAlign w:val="bottom"/>
          </w:tcPr>
          <w:p w:rsidR="00B5536D" w:rsidRPr="00CD6EFD" w:rsidRDefault="00B5536D" w:rsidP="00764386">
            <w:pPr>
              <w:spacing w:line="240" w:lineRule="auto"/>
              <w:contextualSpacing/>
              <w:rPr>
                <w:szCs w:val="20"/>
              </w:rPr>
            </w:pPr>
            <w:r w:rsidRPr="00CD6EFD">
              <w:rPr>
                <w:szCs w:val="20"/>
              </w:rPr>
              <w:t>10-19</w:t>
            </w:r>
          </w:p>
        </w:tc>
        <w:tc>
          <w:tcPr>
            <w:tcW w:w="1060" w:type="dxa"/>
            <w:shd w:val="clear" w:color="auto" w:fill="auto"/>
            <w:noWrap/>
            <w:vAlign w:val="bottom"/>
          </w:tcPr>
          <w:p w:rsidR="00B5536D" w:rsidRPr="00CD6EFD" w:rsidRDefault="00B5536D" w:rsidP="00764386">
            <w:pPr>
              <w:spacing w:line="240" w:lineRule="auto"/>
              <w:contextualSpacing/>
              <w:jc w:val="right"/>
              <w:rPr>
                <w:szCs w:val="20"/>
              </w:rPr>
            </w:pPr>
            <w:r w:rsidRPr="00CD6EFD">
              <w:rPr>
                <w:szCs w:val="20"/>
              </w:rPr>
              <w:t>34</w:t>
            </w:r>
          </w:p>
        </w:tc>
      </w:tr>
      <w:tr w:rsidR="00B5536D" w:rsidRPr="00CD6EFD" w:rsidTr="001B6FFE">
        <w:trPr>
          <w:trHeight w:val="240"/>
          <w:jc w:val="center"/>
        </w:trPr>
        <w:tc>
          <w:tcPr>
            <w:tcW w:w="1060" w:type="dxa"/>
            <w:shd w:val="clear" w:color="auto" w:fill="auto"/>
            <w:noWrap/>
            <w:vAlign w:val="bottom"/>
          </w:tcPr>
          <w:p w:rsidR="00B5536D" w:rsidRPr="00CD6EFD" w:rsidRDefault="00B5536D" w:rsidP="00764386">
            <w:pPr>
              <w:spacing w:line="240" w:lineRule="auto"/>
              <w:contextualSpacing/>
              <w:rPr>
                <w:szCs w:val="20"/>
              </w:rPr>
            </w:pPr>
            <w:r w:rsidRPr="00CD6EFD">
              <w:rPr>
                <w:szCs w:val="20"/>
              </w:rPr>
              <w:t>20-29</w:t>
            </w:r>
          </w:p>
        </w:tc>
        <w:tc>
          <w:tcPr>
            <w:tcW w:w="1060" w:type="dxa"/>
            <w:shd w:val="clear" w:color="auto" w:fill="auto"/>
            <w:noWrap/>
            <w:vAlign w:val="bottom"/>
          </w:tcPr>
          <w:p w:rsidR="00B5536D" w:rsidRPr="00CD6EFD" w:rsidRDefault="00B5536D" w:rsidP="00764386">
            <w:pPr>
              <w:spacing w:line="240" w:lineRule="auto"/>
              <w:contextualSpacing/>
              <w:jc w:val="right"/>
              <w:rPr>
                <w:szCs w:val="20"/>
              </w:rPr>
            </w:pPr>
            <w:r w:rsidRPr="00CD6EFD">
              <w:rPr>
                <w:szCs w:val="20"/>
              </w:rPr>
              <w:t>25</w:t>
            </w:r>
          </w:p>
        </w:tc>
      </w:tr>
      <w:tr w:rsidR="00B5536D" w:rsidRPr="00CD6EFD" w:rsidTr="001B6FFE">
        <w:trPr>
          <w:trHeight w:val="240"/>
          <w:jc w:val="center"/>
        </w:trPr>
        <w:tc>
          <w:tcPr>
            <w:tcW w:w="1060" w:type="dxa"/>
            <w:shd w:val="clear" w:color="auto" w:fill="auto"/>
            <w:noWrap/>
            <w:vAlign w:val="bottom"/>
          </w:tcPr>
          <w:p w:rsidR="00B5536D" w:rsidRPr="00CD6EFD" w:rsidRDefault="00B5536D" w:rsidP="00764386">
            <w:pPr>
              <w:spacing w:line="240" w:lineRule="auto"/>
              <w:contextualSpacing/>
              <w:rPr>
                <w:szCs w:val="20"/>
              </w:rPr>
            </w:pPr>
            <w:r w:rsidRPr="00CD6EFD">
              <w:rPr>
                <w:szCs w:val="20"/>
              </w:rPr>
              <w:t>30-39</w:t>
            </w:r>
          </w:p>
        </w:tc>
        <w:tc>
          <w:tcPr>
            <w:tcW w:w="1060" w:type="dxa"/>
            <w:shd w:val="clear" w:color="auto" w:fill="auto"/>
            <w:noWrap/>
            <w:vAlign w:val="bottom"/>
          </w:tcPr>
          <w:p w:rsidR="00B5536D" w:rsidRPr="00CD6EFD" w:rsidRDefault="00B5536D" w:rsidP="00764386">
            <w:pPr>
              <w:spacing w:line="240" w:lineRule="auto"/>
              <w:contextualSpacing/>
              <w:jc w:val="right"/>
              <w:rPr>
                <w:szCs w:val="20"/>
              </w:rPr>
            </w:pPr>
            <w:r w:rsidRPr="00CD6EFD">
              <w:rPr>
                <w:szCs w:val="20"/>
              </w:rPr>
              <w:t>35</w:t>
            </w:r>
          </w:p>
        </w:tc>
      </w:tr>
      <w:tr w:rsidR="00B5536D" w:rsidRPr="00CD6EFD" w:rsidTr="001B6FFE">
        <w:trPr>
          <w:trHeight w:val="240"/>
          <w:jc w:val="center"/>
        </w:trPr>
        <w:tc>
          <w:tcPr>
            <w:tcW w:w="1060" w:type="dxa"/>
            <w:shd w:val="clear" w:color="auto" w:fill="auto"/>
            <w:noWrap/>
            <w:vAlign w:val="bottom"/>
          </w:tcPr>
          <w:p w:rsidR="00B5536D" w:rsidRPr="00CD6EFD" w:rsidRDefault="00B5536D" w:rsidP="00764386">
            <w:pPr>
              <w:spacing w:line="240" w:lineRule="auto"/>
              <w:contextualSpacing/>
              <w:rPr>
                <w:szCs w:val="20"/>
              </w:rPr>
            </w:pPr>
            <w:r w:rsidRPr="00CD6EFD">
              <w:rPr>
                <w:szCs w:val="20"/>
              </w:rPr>
              <w:t>40-49</w:t>
            </w:r>
          </w:p>
        </w:tc>
        <w:tc>
          <w:tcPr>
            <w:tcW w:w="1060" w:type="dxa"/>
            <w:shd w:val="clear" w:color="auto" w:fill="auto"/>
            <w:noWrap/>
            <w:vAlign w:val="bottom"/>
          </w:tcPr>
          <w:p w:rsidR="00B5536D" w:rsidRPr="00CD6EFD" w:rsidRDefault="00B5536D" w:rsidP="00764386">
            <w:pPr>
              <w:spacing w:line="240" w:lineRule="auto"/>
              <w:contextualSpacing/>
              <w:jc w:val="right"/>
              <w:rPr>
                <w:szCs w:val="20"/>
              </w:rPr>
            </w:pPr>
            <w:r w:rsidRPr="00CD6EFD">
              <w:rPr>
                <w:szCs w:val="20"/>
              </w:rPr>
              <w:t>44</w:t>
            </w:r>
          </w:p>
        </w:tc>
      </w:tr>
      <w:tr w:rsidR="00B5536D" w:rsidRPr="00CD6EFD" w:rsidTr="001B6FFE">
        <w:trPr>
          <w:trHeight w:val="240"/>
          <w:jc w:val="center"/>
        </w:trPr>
        <w:tc>
          <w:tcPr>
            <w:tcW w:w="1060" w:type="dxa"/>
            <w:shd w:val="clear" w:color="auto" w:fill="auto"/>
            <w:noWrap/>
            <w:vAlign w:val="bottom"/>
          </w:tcPr>
          <w:p w:rsidR="00B5536D" w:rsidRPr="00CD6EFD" w:rsidRDefault="00B5536D" w:rsidP="00764386">
            <w:pPr>
              <w:spacing w:line="240" w:lineRule="auto"/>
              <w:contextualSpacing/>
              <w:rPr>
                <w:szCs w:val="20"/>
              </w:rPr>
            </w:pPr>
            <w:r w:rsidRPr="00CD6EFD">
              <w:rPr>
                <w:szCs w:val="20"/>
              </w:rPr>
              <w:t>50-59</w:t>
            </w:r>
          </w:p>
        </w:tc>
        <w:tc>
          <w:tcPr>
            <w:tcW w:w="1060" w:type="dxa"/>
            <w:shd w:val="clear" w:color="auto" w:fill="auto"/>
            <w:noWrap/>
            <w:vAlign w:val="bottom"/>
          </w:tcPr>
          <w:p w:rsidR="00B5536D" w:rsidRPr="00CD6EFD" w:rsidRDefault="00B5536D" w:rsidP="00764386">
            <w:pPr>
              <w:spacing w:line="240" w:lineRule="auto"/>
              <w:contextualSpacing/>
              <w:jc w:val="right"/>
              <w:rPr>
                <w:szCs w:val="20"/>
              </w:rPr>
            </w:pPr>
            <w:r w:rsidRPr="00CD6EFD">
              <w:rPr>
                <w:szCs w:val="20"/>
              </w:rPr>
              <w:t>57</w:t>
            </w:r>
          </w:p>
        </w:tc>
      </w:tr>
      <w:tr w:rsidR="00B5536D" w:rsidRPr="00CD6EFD" w:rsidTr="001B6FFE">
        <w:trPr>
          <w:trHeight w:val="240"/>
          <w:jc w:val="center"/>
        </w:trPr>
        <w:tc>
          <w:tcPr>
            <w:tcW w:w="1060" w:type="dxa"/>
            <w:shd w:val="clear" w:color="auto" w:fill="auto"/>
            <w:noWrap/>
            <w:vAlign w:val="bottom"/>
          </w:tcPr>
          <w:p w:rsidR="00B5536D" w:rsidRPr="00CD6EFD" w:rsidRDefault="00B5536D" w:rsidP="00764386">
            <w:pPr>
              <w:spacing w:line="240" w:lineRule="auto"/>
              <w:contextualSpacing/>
              <w:rPr>
                <w:szCs w:val="20"/>
              </w:rPr>
            </w:pPr>
            <w:r w:rsidRPr="00CD6EFD">
              <w:rPr>
                <w:szCs w:val="20"/>
              </w:rPr>
              <w:t>60-69</w:t>
            </w:r>
          </w:p>
        </w:tc>
        <w:tc>
          <w:tcPr>
            <w:tcW w:w="1060" w:type="dxa"/>
            <w:shd w:val="clear" w:color="auto" w:fill="auto"/>
            <w:noWrap/>
            <w:vAlign w:val="bottom"/>
          </w:tcPr>
          <w:p w:rsidR="00B5536D" w:rsidRPr="00CD6EFD" w:rsidRDefault="00B5536D" w:rsidP="00764386">
            <w:pPr>
              <w:spacing w:line="240" w:lineRule="auto"/>
              <w:contextualSpacing/>
              <w:jc w:val="right"/>
              <w:rPr>
                <w:szCs w:val="20"/>
              </w:rPr>
            </w:pPr>
            <w:r w:rsidRPr="00CD6EFD">
              <w:rPr>
                <w:szCs w:val="20"/>
              </w:rPr>
              <w:t>44</w:t>
            </w:r>
          </w:p>
        </w:tc>
      </w:tr>
      <w:tr w:rsidR="00B5536D" w:rsidRPr="00CD6EFD" w:rsidTr="001B6FFE">
        <w:trPr>
          <w:trHeight w:val="240"/>
          <w:jc w:val="center"/>
        </w:trPr>
        <w:tc>
          <w:tcPr>
            <w:tcW w:w="1060" w:type="dxa"/>
            <w:shd w:val="clear" w:color="auto" w:fill="auto"/>
            <w:noWrap/>
            <w:vAlign w:val="bottom"/>
          </w:tcPr>
          <w:p w:rsidR="00B5536D" w:rsidRPr="00CD6EFD" w:rsidRDefault="00B5536D" w:rsidP="00764386">
            <w:pPr>
              <w:spacing w:line="240" w:lineRule="auto"/>
              <w:contextualSpacing/>
              <w:rPr>
                <w:szCs w:val="20"/>
              </w:rPr>
            </w:pPr>
            <w:r w:rsidRPr="00CD6EFD">
              <w:rPr>
                <w:szCs w:val="20"/>
              </w:rPr>
              <w:t>70-79</w:t>
            </w:r>
          </w:p>
        </w:tc>
        <w:tc>
          <w:tcPr>
            <w:tcW w:w="1060" w:type="dxa"/>
            <w:shd w:val="clear" w:color="auto" w:fill="auto"/>
            <w:noWrap/>
            <w:vAlign w:val="bottom"/>
          </w:tcPr>
          <w:p w:rsidR="00B5536D" w:rsidRPr="00CD6EFD" w:rsidRDefault="00B5536D" w:rsidP="00764386">
            <w:pPr>
              <w:spacing w:line="240" w:lineRule="auto"/>
              <w:contextualSpacing/>
              <w:jc w:val="right"/>
              <w:rPr>
                <w:szCs w:val="20"/>
              </w:rPr>
            </w:pPr>
            <w:r w:rsidRPr="00CD6EFD">
              <w:rPr>
                <w:szCs w:val="20"/>
              </w:rPr>
              <w:t>16</w:t>
            </w:r>
          </w:p>
        </w:tc>
      </w:tr>
      <w:tr w:rsidR="00B5536D" w:rsidRPr="00CD6EFD" w:rsidTr="001B6FFE">
        <w:trPr>
          <w:trHeight w:val="240"/>
          <w:jc w:val="center"/>
        </w:trPr>
        <w:tc>
          <w:tcPr>
            <w:tcW w:w="1060" w:type="dxa"/>
            <w:shd w:val="clear" w:color="auto" w:fill="auto"/>
            <w:noWrap/>
            <w:vAlign w:val="bottom"/>
          </w:tcPr>
          <w:p w:rsidR="00B5536D" w:rsidRPr="00CD6EFD" w:rsidRDefault="00B5536D" w:rsidP="00764386">
            <w:pPr>
              <w:spacing w:line="240" w:lineRule="auto"/>
              <w:contextualSpacing/>
              <w:rPr>
                <w:szCs w:val="20"/>
              </w:rPr>
            </w:pPr>
            <w:r w:rsidRPr="00CD6EFD">
              <w:rPr>
                <w:szCs w:val="20"/>
              </w:rPr>
              <w:t>Over 80</w:t>
            </w:r>
          </w:p>
        </w:tc>
        <w:tc>
          <w:tcPr>
            <w:tcW w:w="1060" w:type="dxa"/>
            <w:shd w:val="clear" w:color="auto" w:fill="auto"/>
            <w:noWrap/>
            <w:vAlign w:val="bottom"/>
          </w:tcPr>
          <w:p w:rsidR="00B5536D" w:rsidRPr="00CD6EFD" w:rsidRDefault="00B5536D" w:rsidP="00EE571F">
            <w:pPr>
              <w:keepNext/>
              <w:spacing w:line="240" w:lineRule="auto"/>
              <w:contextualSpacing/>
              <w:jc w:val="right"/>
              <w:rPr>
                <w:szCs w:val="20"/>
              </w:rPr>
            </w:pPr>
            <w:r w:rsidRPr="00CD6EFD">
              <w:rPr>
                <w:szCs w:val="20"/>
              </w:rPr>
              <w:t>4</w:t>
            </w:r>
          </w:p>
        </w:tc>
      </w:tr>
    </w:tbl>
    <w:p w:rsidR="00B85456" w:rsidRDefault="00EE571F" w:rsidP="00EE571F">
      <w:pPr>
        <w:pStyle w:val="Caption"/>
      </w:pPr>
      <w:r>
        <w:tab/>
      </w:r>
      <w:r>
        <w:tab/>
      </w:r>
      <w:r>
        <w:tab/>
      </w:r>
      <w:r>
        <w:tab/>
      </w:r>
      <w:r>
        <w:tab/>
        <w:t xml:space="preserve">Figure </w:t>
      </w:r>
      <w:fldSimple w:instr=" SEQ Figure \* ARABIC ">
        <w:r w:rsidR="00707511">
          <w:rPr>
            <w:noProof/>
          </w:rPr>
          <w:t>39</w:t>
        </w:r>
      </w:fldSimple>
      <w:r>
        <w:tab/>
      </w:r>
    </w:p>
    <w:p w:rsidR="007203B8" w:rsidRDefault="007203B8" w:rsidP="00B85456">
      <w:pPr>
        <w:spacing w:line="240" w:lineRule="auto"/>
        <w:contextualSpacing/>
        <w:rPr>
          <w:b/>
          <w:color w:val="4E5612"/>
          <w:sz w:val="25"/>
        </w:rPr>
      </w:pPr>
    </w:p>
    <w:p w:rsidR="00B85456" w:rsidRPr="00B85456" w:rsidRDefault="00B5536D" w:rsidP="00B85456">
      <w:pPr>
        <w:spacing w:line="240" w:lineRule="auto"/>
        <w:contextualSpacing/>
        <w:rPr>
          <w:b/>
          <w:color w:val="4E5612"/>
          <w:sz w:val="25"/>
        </w:rPr>
      </w:pPr>
      <w:r w:rsidRPr="00B85456">
        <w:rPr>
          <w:b/>
          <w:color w:val="4E5612"/>
          <w:sz w:val="25"/>
        </w:rPr>
        <w:t>Employment</w:t>
      </w:r>
    </w:p>
    <w:p w:rsidR="00B5536D" w:rsidRPr="00CD6EFD" w:rsidRDefault="00B5536D" w:rsidP="00B85456">
      <w:pPr>
        <w:spacing w:line="240" w:lineRule="auto"/>
        <w:contextualSpacing/>
      </w:pPr>
      <w:r w:rsidRPr="00CD6EFD">
        <w:t>The average commute to work is a mean time of 10.5 minutes.  The available labor force is 86.  Of the 86 employed people 0 are unemployed.  This represents the best unemployment rate in America at 0.0%.  Island parks total population is 286.</w:t>
      </w:r>
      <w:r w:rsidRPr="00CD6EFD">
        <w:rPr>
          <w:rStyle w:val="FootnoteReference"/>
        </w:rPr>
        <w:t xml:space="preserve"> </w:t>
      </w:r>
      <w:r w:rsidRPr="00CD6EFD">
        <w:rPr>
          <w:rStyle w:val="FootnoteReference"/>
        </w:rPr>
        <w:footnoteReference w:id="55"/>
      </w:r>
    </w:p>
    <w:p w:rsidR="00B85456" w:rsidRDefault="00B85456" w:rsidP="00764386">
      <w:pPr>
        <w:spacing w:line="240" w:lineRule="auto"/>
        <w:contextualSpacing/>
        <w:rPr>
          <w:b/>
          <w:color w:val="4E5612"/>
        </w:rPr>
      </w:pPr>
    </w:p>
    <w:p w:rsidR="00B5536D" w:rsidRPr="00B5536D" w:rsidRDefault="00B5536D" w:rsidP="00764386">
      <w:pPr>
        <w:spacing w:line="240" w:lineRule="auto"/>
        <w:contextualSpacing/>
        <w:rPr>
          <w:b/>
          <w:color w:val="4E5612"/>
        </w:rPr>
      </w:pPr>
      <w:r w:rsidRPr="00B5536D">
        <w:rPr>
          <w:b/>
          <w:color w:val="4E5612"/>
        </w:rPr>
        <w:t xml:space="preserve">Income </w:t>
      </w:r>
    </w:p>
    <w:p w:rsidR="00B5536D" w:rsidRPr="00CD6EFD" w:rsidRDefault="00B5536D" w:rsidP="00764386">
      <w:pPr>
        <w:spacing w:line="240" w:lineRule="auto"/>
        <w:contextualSpacing/>
      </w:pPr>
      <w:r w:rsidRPr="00CD6EFD">
        <w:t xml:space="preserve">According to the U.S. Census Bureau there were exactly 100 households in Island Park.  Almost half of the households earn less than $25,000. According to the census median household income is $27,750 with a mean of $41,130. Below the incomes are separated into 6 strata’s. </w:t>
      </w:r>
      <w:r w:rsidRPr="00CD6EFD">
        <w:rPr>
          <w:rStyle w:val="FootnoteReference"/>
        </w:rPr>
        <w:footnoteReference w:id="56"/>
      </w:r>
    </w:p>
    <w:p w:rsidR="00B5536D" w:rsidRPr="00CD6EFD" w:rsidRDefault="00B5536D" w:rsidP="00764386">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98"/>
        <w:gridCol w:w="2700"/>
        <w:gridCol w:w="3978"/>
      </w:tblGrid>
      <w:tr w:rsidR="00B5536D" w:rsidRPr="00CD6EFD" w:rsidTr="001B6FFE">
        <w:tc>
          <w:tcPr>
            <w:tcW w:w="2898" w:type="dxa"/>
          </w:tcPr>
          <w:p w:rsidR="00B5536D" w:rsidRPr="00CD6EFD" w:rsidRDefault="00B5536D" w:rsidP="00764386">
            <w:pPr>
              <w:contextualSpacing/>
              <w:rPr>
                <w:rFonts w:ascii="Garamond" w:hAnsi="Garamond"/>
                <w:b/>
              </w:rPr>
            </w:pPr>
            <w:r w:rsidRPr="00CD6EFD">
              <w:rPr>
                <w:rFonts w:ascii="Garamond" w:hAnsi="Garamond"/>
                <w:b/>
              </w:rPr>
              <w:lastRenderedPageBreak/>
              <w:t>Income</w:t>
            </w:r>
          </w:p>
        </w:tc>
        <w:tc>
          <w:tcPr>
            <w:tcW w:w="2700" w:type="dxa"/>
          </w:tcPr>
          <w:p w:rsidR="00B5536D" w:rsidRPr="00CD6EFD" w:rsidRDefault="00B5536D" w:rsidP="00764386">
            <w:pPr>
              <w:contextualSpacing/>
              <w:jc w:val="center"/>
              <w:rPr>
                <w:rFonts w:ascii="Garamond" w:hAnsi="Garamond"/>
                <w:b/>
              </w:rPr>
            </w:pPr>
            <w:r w:rsidRPr="00CD6EFD">
              <w:rPr>
                <w:rFonts w:ascii="Garamond" w:hAnsi="Garamond"/>
                <w:b/>
              </w:rPr>
              <w:t>Households</w:t>
            </w:r>
          </w:p>
        </w:tc>
        <w:tc>
          <w:tcPr>
            <w:tcW w:w="3978" w:type="dxa"/>
          </w:tcPr>
          <w:p w:rsidR="00B5536D" w:rsidRPr="00CD6EFD" w:rsidRDefault="00B5536D" w:rsidP="00764386">
            <w:pPr>
              <w:contextualSpacing/>
              <w:jc w:val="center"/>
              <w:rPr>
                <w:rFonts w:ascii="Garamond" w:hAnsi="Garamond"/>
                <w:b/>
              </w:rPr>
            </w:pPr>
            <w:r w:rsidRPr="00CD6EFD">
              <w:rPr>
                <w:rFonts w:ascii="Garamond" w:hAnsi="Garamond"/>
                <w:b/>
              </w:rPr>
              <w:t>Percentage of Total Households</w:t>
            </w:r>
          </w:p>
        </w:tc>
      </w:tr>
      <w:tr w:rsidR="00B5536D" w:rsidRPr="00CD6EFD" w:rsidTr="001B6FFE">
        <w:tc>
          <w:tcPr>
            <w:tcW w:w="2898" w:type="dxa"/>
          </w:tcPr>
          <w:p w:rsidR="00B5536D" w:rsidRPr="00CD6EFD" w:rsidRDefault="00B5536D" w:rsidP="00764386">
            <w:pPr>
              <w:contextualSpacing/>
              <w:rPr>
                <w:rFonts w:ascii="Garamond" w:hAnsi="Garamond"/>
              </w:rPr>
            </w:pPr>
            <w:r w:rsidRPr="00CD6EFD">
              <w:rPr>
                <w:rFonts w:ascii="Garamond" w:hAnsi="Garamond"/>
              </w:rPr>
              <w:t>$0 to 9,999</w:t>
            </w:r>
          </w:p>
        </w:tc>
        <w:tc>
          <w:tcPr>
            <w:tcW w:w="2700" w:type="dxa"/>
          </w:tcPr>
          <w:p w:rsidR="00B5536D" w:rsidRPr="00CD6EFD" w:rsidRDefault="00B5536D" w:rsidP="00764386">
            <w:pPr>
              <w:contextualSpacing/>
              <w:jc w:val="center"/>
              <w:rPr>
                <w:rFonts w:ascii="Garamond" w:hAnsi="Garamond"/>
              </w:rPr>
            </w:pPr>
            <w:r w:rsidRPr="00CD6EFD">
              <w:rPr>
                <w:rFonts w:ascii="Garamond" w:hAnsi="Garamond"/>
              </w:rPr>
              <w:t>0</w:t>
            </w:r>
          </w:p>
        </w:tc>
        <w:tc>
          <w:tcPr>
            <w:tcW w:w="3978" w:type="dxa"/>
          </w:tcPr>
          <w:p w:rsidR="00B5536D" w:rsidRPr="00CD6EFD" w:rsidRDefault="00B5536D" w:rsidP="00764386">
            <w:pPr>
              <w:contextualSpacing/>
              <w:jc w:val="center"/>
              <w:rPr>
                <w:rFonts w:ascii="Garamond" w:hAnsi="Garamond"/>
              </w:rPr>
            </w:pPr>
            <w:r w:rsidRPr="00CD6EFD">
              <w:rPr>
                <w:rFonts w:ascii="Garamond" w:hAnsi="Garamond"/>
              </w:rPr>
              <w:t>0.0%</w:t>
            </w:r>
          </w:p>
        </w:tc>
      </w:tr>
      <w:tr w:rsidR="00B5536D" w:rsidRPr="00CD6EFD" w:rsidTr="001B6FFE">
        <w:tc>
          <w:tcPr>
            <w:tcW w:w="2898" w:type="dxa"/>
          </w:tcPr>
          <w:p w:rsidR="00B5536D" w:rsidRPr="00CD6EFD" w:rsidRDefault="00B5536D" w:rsidP="00764386">
            <w:pPr>
              <w:contextualSpacing/>
              <w:rPr>
                <w:rFonts w:ascii="Garamond" w:hAnsi="Garamond"/>
              </w:rPr>
            </w:pPr>
            <w:r w:rsidRPr="00CD6EFD">
              <w:rPr>
                <w:rFonts w:ascii="Garamond" w:hAnsi="Garamond"/>
              </w:rPr>
              <w:t>$10,000 to $24,999</w:t>
            </w:r>
          </w:p>
        </w:tc>
        <w:tc>
          <w:tcPr>
            <w:tcW w:w="2700" w:type="dxa"/>
          </w:tcPr>
          <w:p w:rsidR="00B5536D" w:rsidRPr="00CD6EFD" w:rsidRDefault="00B5536D" w:rsidP="00764386">
            <w:pPr>
              <w:contextualSpacing/>
              <w:jc w:val="center"/>
              <w:rPr>
                <w:rFonts w:ascii="Garamond" w:hAnsi="Garamond"/>
              </w:rPr>
            </w:pPr>
            <w:r w:rsidRPr="00CD6EFD">
              <w:rPr>
                <w:rFonts w:ascii="Garamond" w:hAnsi="Garamond"/>
              </w:rPr>
              <w:t>48</w:t>
            </w:r>
          </w:p>
        </w:tc>
        <w:tc>
          <w:tcPr>
            <w:tcW w:w="3978" w:type="dxa"/>
          </w:tcPr>
          <w:p w:rsidR="00B5536D" w:rsidRPr="00CD6EFD" w:rsidRDefault="00B5536D" w:rsidP="00764386">
            <w:pPr>
              <w:contextualSpacing/>
              <w:jc w:val="center"/>
              <w:rPr>
                <w:rFonts w:ascii="Garamond" w:hAnsi="Garamond"/>
              </w:rPr>
            </w:pPr>
            <w:r w:rsidRPr="00CD6EFD">
              <w:rPr>
                <w:rFonts w:ascii="Garamond" w:hAnsi="Garamond"/>
              </w:rPr>
              <w:t>48.0%</w:t>
            </w:r>
          </w:p>
        </w:tc>
      </w:tr>
      <w:tr w:rsidR="00B5536D" w:rsidRPr="00CD6EFD" w:rsidTr="001B6FFE">
        <w:tc>
          <w:tcPr>
            <w:tcW w:w="2898" w:type="dxa"/>
          </w:tcPr>
          <w:p w:rsidR="00B5536D" w:rsidRPr="00CD6EFD" w:rsidRDefault="00B5536D" w:rsidP="00764386">
            <w:pPr>
              <w:contextualSpacing/>
              <w:rPr>
                <w:rFonts w:ascii="Garamond" w:hAnsi="Garamond"/>
              </w:rPr>
            </w:pPr>
            <w:r w:rsidRPr="00CD6EFD">
              <w:rPr>
                <w:rFonts w:ascii="Garamond" w:hAnsi="Garamond"/>
              </w:rPr>
              <w:t>$25,000 to $49,999</w:t>
            </w:r>
          </w:p>
        </w:tc>
        <w:tc>
          <w:tcPr>
            <w:tcW w:w="2700" w:type="dxa"/>
          </w:tcPr>
          <w:p w:rsidR="00B5536D" w:rsidRPr="00CD6EFD" w:rsidRDefault="00B5536D" w:rsidP="00764386">
            <w:pPr>
              <w:contextualSpacing/>
              <w:jc w:val="center"/>
              <w:rPr>
                <w:rFonts w:ascii="Garamond" w:hAnsi="Garamond"/>
              </w:rPr>
            </w:pPr>
            <w:r w:rsidRPr="00CD6EFD">
              <w:rPr>
                <w:rFonts w:ascii="Garamond" w:hAnsi="Garamond"/>
              </w:rPr>
              <w:t>18</w:t>
            </w:r>
          </w:p>
        </w:tc>
        <w:tc>
          <w:tcPr>
            <w:tcW w:w="3978" w:type="dxa"/>
          </w:tcPr>
          <w:p w:rsidR="00B5536D" w:rsidRPr="00CD6EFD" w:rsidRDefault="00B5536D" w:rsidP="00764386">
            <w:pPr>
              <w:contextualSpacing/>
              <w:jc w:val="center"/>
              <w:rPr>
                <w:rFonts w:ascii="Garamond" w:hAnsi="Garamond"/>
              </w:rPr>
            </w:pPr>
            <w:r w:rsidRPr="00CD6EFD">
              <w:rPr>
                <w:rFonts w:ascii="Garamond" w:hAnsi="Garamond"/>
              </w:rPr>
              <w:t>18.0%</w:t>
            </w:r>
          </w:p>
        </w:tc>
      </w:tr>
      <w:tr w:rsidR="00B5536D" w:rsidRPr="00CD6EFD" w:rsidTr="001B6FFE">
        <w:tc>
          <w:tcPr>
            <w:tcW w:w="2898" w:type="dxa"/>
          </w:tcPr>
          <w:p w:rsidR="00B5536D" w:rsidRPr="00CD6EFD" w:rsidRDefault="00B5536D" w:rsidP="00764386">
            <w:pPr>
              <w:contextualSpacing/>
              <w:rPr>
                <w:rFonts w:ascii="Garamond" w:hAnsi="Garamond"/>
              </w:rPr>
            </w:pPr>
            <w:r w:rsidRPr="00CD6EFD">
              <w:rPr>
                <w:rFonts w:ascii="Garamond" w:hAnsi="Garamond"/>
              </w:rPr>
              <w:t>$50,000 to $74,999</w:t>
            </w:r>
          </w:p>
        </w:tc>
        <w:tc>
          <w:tcPr>
            <w:tcW w:w="2700" w:type="dxa"/>
          </w:tcPr>
          <w:p w:rsidR="00B5536D" w:rsidRPr="00CD6EFD" w:rsidRDefault="00B5536D" w:rsidP="00764386">
            <w:pPr>
              <w:contextualSpacing/>
              <w:jc w:val="center"/>
              <w:rPr>
                <w:rFonts w:ascii="Garamond" w:hAnsi="Garamond"/>
              </w:rPr>
            </w:pPr>
            <w:r w:rsidRPr="00CD6EFD">
              <w:rPr>
                <w:rFonts w:ascii="Garamond" w:hAnsi="Garamond"/>
              </w:rPr>
              <w:t>24</w:t>
            </w:r>
          </w:p>
        </w:tc>
        <w:tc>
          <w:tcPr>
            <w:tcW w:w="3978" w:type="dxa"/>
          </w:tcPr>
          <w:p w:rsidR="00B5536D" w:rsidRPr="00CD6EFD" w:rsidRDefault="00B5536D" w:rsidP="00764386">
            <w:pPr>
              <w:contextualSpacing/>
              <w:jc w:val="center"/>
              <w:rPr>
                <w:rFonts w:ascii="Garamond" w:hAnsi="Garamond"/>
              </w:rPr>
            </w:pPr>
            <w:r w:rsidRPr="00CD6EFD">
              <w:rPr>
                <w:rFonts w:ascii="Garamond" w:hAnsi="Garamond"/>
              </w:rPr>
              <w:t>24.0%</w:t>
            </w:r>
          </w:p>
        </w:tc>
      </w:tr>
      <w:tr w:rsidR="00B5536D" w:rsidRPr="00CD6EFD" w:rsidTr="001B6FFE">
        <w:tc>
          <w:tcPr>
            <w:tcW w:w="2898" w:type="dxa"/>
          </w:tcPr>
          <w:p w:rsidR="00B5536D" w:rsidRPr="00CD6EFD" w:rsidRDefault="00B5536D" w:rsidP="00764386">
            <w:pPr>
              <w:contextualSpacing/>
              <w:rPr>
                <w:rFonts w:ascii="Garamond" w:hAnsi="Garamond"/>
              </w:rPr>
            </w:pPr>
            <w:r w:rsidRPr="00CD6EFD">
              <w:rPr>
                <w:rFonts w:ascii="Garamond" w:hAnsi="Garamond"/>
              </w:rPr>
              <w:t>$75,000 to $99,999</w:t>
            </w:r>
          </w:p>
        </w:tc>
        <w:tc>
          <w:tcPr>
            <w:tcW w:w="2700" w:type="dxa"/>
          </w:tcPr>
          <w:p w:rsidR="00B5536D" w:rsidRPr="00CD6EFD" w:rsidRDefault="00B5536D" w:rsidP="00764386">
            <w:pPr>
              <w:contextualSpacing/>
              <w:jc w:val="center"/>
              <w:rPr>
                <w:rFonts w:ascii="Garamond" w:hAnsi="Garamond"/>
              </w:rPr>
            </w:pPr>
            <w:r w:rsidRPr="00CD6EFD">
              <w:rPr>
                <w:rFonts w:ascii="Garamond" w:hAnsi="Garamond"/>
              </w:rPr>
              <w:t>7</w:t>
            </w:r>
          </w:p>
        </w:tc>
        <w:tc>
          <w:tcPr>
            <w:tcW w:w="3978" w:type="dxa"/>
          </w:tcPr>
          <w:p w:rsidR="00B5536D" w:rsidRPr="00CD6EFD" w:rsidRDefault="00B5536D" w:rsidP="00764386">
            <w:pPr>
              <w:contextualSpacing/>
              <w:jc w:val="center"/>
              <w:rPr>
                <w:rFonts w:ascii="Garamond" w:hAnsi="Garamond"/>
              </w:rPr>
            </w:pPr>
            <w:r w:rsidRPr="00CD6EFD">
              <w:rPr>
                <w:rFonts w:ascii="Garamond" w:hAnsi="Garamond"/>
              </w:rPr>
              <w:t>7.0%</w:t>
            </w:r>
          </w:p>
        </w:tc>
      </w:tr>
      <w:tr w:rsidR="00B5536D" w:rsidRPr="00CD6EFD" w:rsidTr="001B6FFE">
        <w:tc>
          <w:tcPr>
            <w:tcW w:w="2898" w:type="dxa"/>
          </w:tcPr>
          <w:p w:rsidR="00B5536D" w:rsidRPr="00CD6EFD" w:rsidRDefault="00B5536D" w:rsidP="00764386">
            <w:pPr>
              <w:contextualSpacing/>
              <w:rPr>
                <w:rFonts w:ascii="Garamond" w:hAnsi="Garamond"/>
              </w:rPr>
            </w:pPr>
            <w:r w:rsidRPr="00CD6EFD">
              <w:rPr>
                <w:rFonts w:ascii="Garamond" w:hAnsi="Garamond"/>
              </w:rPr>
              <w:t>$100,000 and Above</w:t>
            </w:r>
          </w:p>
        </w:tc>
        <w:tc>
          <w:tcPr>
            <w:tcW w:w="2700" w:type="dxa"/>
          </w:tcPr>
          <w:p w:rsidR="00B5536D" w:rsidRPr="00CD6EFD" w:rsidRDefault="00B5536D" w:rsidP="00764386">
            <w:pPr>
              <w:contextualSpacing/>
              <w:jc w:val="center"/>
              <w:rPr>
                <w:rFonts w:ascii="Garamond" w:hAnsi="Garamond"/>
              </w:rPr>
            </w:pPr>
            <w:r w:rsidRPr="00CD6EFD">
              <w:rPr>
                <w:rFonts w:ascii="Garamond" w:hAnsi="Garamond"/>
              </w:rPr>
              <w:t>3</w:t>
            </w:r>
          </w:p>
        </w:tc>
        <w:tc>
          <w:tcPr>
            <w:tcW w:w="3978" w:type="dxa"/>
          </w:tcPr>
          <w:p w:rsidR="00B5536D" w:rsidRPr="00CD6EFD" w:rsidRDefault="00B5536D" w:rsidP="00EE571F">
            <w:pPr>
              <w:keepNext/>
              <w:contextualSpacing/>
              <w:jc w:val="center"/>
              <w:rPr>
                <w:rFonts w:ascii="Garamond" w:hAnsi="Garamond"/>
              </w:rPr>
            </w:pPr>
            <w:r w:rsidRPr="00CD6EFD">
              <w:rPr>
                <w:rFonts w:ascii="Garamond" w:hAnsi="Garamond"/>
              </w:rPr>
              <w:t>3.0%</w:t>
            </w:r>
          </w:p>
        </w:tc>
      </w:tr>
    </w:tbl>
    <w:p w:rsidR="00B5536D" w:rsidRPr="00CD6EFD" w:rsidRDefault="00EE571F" w:rsidP="00EE571F">
      <w:pPr>
        <w:pStyle w:val="Caption"/>
      </w:pPr>
      <w:r>
        <w:t xml:space="preserve">Figure </w:t>
      </w:r>
      <w:fldSimple w:instr=" SEQ Figure \* ARABIC ">
        <w:r w:rsidR="00707511">
          <w:rPr>
            <w:noProof/>
          </w:rPr>
          <w:t>40</w:t>
        </w:r>
      </w:fldSimple>
    </w:p>
    <w:p w:rsidR="00B5536D" w:rsidRPr="00CD6EFD" w:rsidRDefault="00B5536D" w:rsidP="00764386">
      <w:pPr>
        <w:spacing w:line="240" w:lineRule="auto"/>
        <w:contextualSpacing/>
      </w:pPr>
      <w:r w:rsidRPr="00CD6EFD">
        <w:t xml:space="preserve">According to the </w:t>
      </w:r>
      <w:r>
        <w:t>2010 Census,</w:t>
      </w:r>
      <w:r w:rsidRPr="00CD6EFD">
        <w:t xml:space="preserve"> </w:t>
      </w:r>
      <w:r>
        <w:t xml:space="preserve">the </w:t>
      </w:r>
      <w:r w:rsidRPr="00CD6EFD">
        <w:t xml:space="preserve">total </w:t>
      </w:r>
      <w:r>
        <w:t xml:space="preserve">number of </w:t>
      </w:r>
      <w:r w:rsidRPr="00CD6EFD">
        <w:t>housing units</w:t>
      </w:r>
      <w:r>
        <w:t xml:space="preserve"> was </w:t>
      </w:r>
      <w:r w:rsidRPr="00CD6EFD">
        <w:t>692.  Owner occupied housing units were 93 and renter occupied housing units were 29.  There were 570</w:t>
      </w:r>
      <w:r w:rsidR="007203B8">
        <w:t xml:space="preserve"> vacant housing units</w:t>
      </w:r>
      <w:r w:rsidRPr="00CD6EFD">
        <w:t>.</w:t>
      </w:r>
      <w:r w:rsidRPr="00CD6EFD">
        <w:rPr>
          <w:rStyle w:val="FootnoteReference"/>
        </w:rPr>
        <w:footnoteReference w:id="57"/>
      </w:r>
    </w:p>
    <w:p w:rsidR="00B5536D" w:rsidRPr="00CD6EFD" w:rsidRDefault="00B5536D" w:rsidP="00764386">
      <w:pPr>
        <w:spacing w:line="240" w:lineRule="auto"/>
        <w:contextualSpacing/>
      </w:pPr>
    </w:p>
    <w:p w:rsidR="00B5536D" w:rsidRPr="00B864AC" w:rsidRDefault="00B5536D" w:rsidP="00764386">
      <w:pPr>
        <w:spacing w:line="240" w:lineRule="auto"/>
        <w:contextualSpacing/>
        <w:rPr>
          <w:b/>
          <w:color w:val="4E5612"/>
          <w:sz w:val="25"/>
        </w:rPr>
      </w:pPr>
      <w:r w:rsidRPr="00B864AC">
        <w:rPr>
          <w:b/>
          <w:color w:val="4E5612"/>
          <w:sz w:val="25"/>
        </w:rPr>
        <w:t>Home Value</w:t>
      </w:r>
    </w:p>
    <w:p w:rsidR="00B5536D" w:rsidRDefault="00B5536D" w:rsidP="00764386">
      <w:pPr>
        <w:spacing w:line="240" w:lineRule="auto"/>
        <w:contextualSpacing/>
      </w:pPr>
      <w:r>
        <w:t>The highest percentage of homes is between $150,000 and $199,999. However, of the 94 owner occupied units, 33 are valued at over $300,000.</w:t>
      </w:r>
      <w:r>
        <w:rPr>
          <w:rStyle w:val="FootnoteReference"/>
        </w:rPr>
        <w:footnoteReference w:id="58"/>
      </w:r>
      <w:r>
        <w:t xml:space="preserve"> </w:t>
      </w:r>
    </w:p>
    <w:p w:rsidR="00355BC6" w:rsidRDefault="00355BC6" w:rsidP="00764386">
      <w:pPr>
        <w:spacing w:line="240" w:lineRule="auto"/>
        <w:contextualSpacing/>
      </w:pPr>
    </w:p>
    <w:tbl>
      <w:tblPr>
        <w:tblStyle w:val="TableGrid"/>
        <w:tblpPr w:leftFromText="180" w:rightFromText="180" w:vertAnchor="text" w:tblpY="1"/>
        <w:tblOverlap w:val="neve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14"/>
        <w:gridCol w:w="3206"/>
        <w:gridCol w:w="2886"/>
      </w:tblGrid>
      <w:tr w:rsidR="00B5536D" w:rsidTr="001B6FFE">
        <w:trPr>
          <w:trHeight w:val="275"/>
        </w:trPr>
        <w:tc>
          <w:tcPr>
            <w:tcW w:w="3014" w:type="dxa"/>
          </w:tcPr>
          <w:p w:rsidR="00B5536D" w:rsidRPr="00C00752" w:rsidRDefault="00B5536D" w:rsidP="00764386">
            <w:pPr>
              <w:contextualSpacing/>
              <w:rPr>
                <w:rFonts w:ascii="Garamond" w:hAnsi="Garamond"/>
                <w:b/>
              </w:rPr>
            </w:pPr>
            <w:r w:rsidRPr="00C00752">
              <w:rPr>
                <w:rFonts w:ascii="Garamond" w:hAnsi="Garamond"/>
                <w:b/>
              </w:rPr>
              <w:t>Value</w:t>
            </w:r>
          </w:p>
        </w:tc>
        <w:tc>
          <w:tcPr>
            <w:tcW w:w="3206" w:type="dxa"/>
          </w:tcPr>
          <w:p w:rsidR="00B5536D" w:rsidRPr="00C00752" w:rsidRDefault="00B5536D" w:rsidP="00764386">
            <w:pPr>
              <w:contextualSpacing/>
              <w:jc w:val="center"/>
              <w:rPr>
                <w:rFonts w:ascii="Garamond" w:hAnsi="Garamond"/>
                <w:b/>
              </w:rPr>
            </w:pPr>
            <w:r w:rsidRPr="00C00752">
              <w:rPr>
                <w:rFonts w:ascii="Garamond" w:hAnsi="Garamond"/>
                <w:b/>
              </w:rPr>
              <w:t>Owner Occupied Units</w:t>
            </w:r>
          </w:p>
        </w:tc>
        <w:tc>
          <w:tcPr>
            <w:tcW w:w="2886" w:type="dxa"/>
          </w:tcPr>
          <w:p w:rsidR="00B5536D" w:rsidRPr="00C00752" w:rsidRDefault="00B5536D" w:rsidP="00764386">
            <w:pPr>
              <w:contextualSpacing/>
              <w:jc w:val="center"/>
              <w:rPr>
                <w:rFonts w:ascii="Garamond" w:hAnsi="Garamond"/>
                <w:b/>
              </w:rPr>
            </w:pPr>
            <w:r w:rsidRPr="00C00752">
              <w:rPr>
                <w:rFonts w:ascii="Garamond" w:hAnsi="Garamond"/>
                <w:b/>
              </w:rPr>
              <w:t>Percentage</w:t>
            </w:r>
            <w:r>
              <w:rPr>
                <w:rFonts w:ascii="Garamond" w:hAnsi="Garamond"/>
                <w:b/>
              </w:rPr>
              <w:t xml:space="preserve"> of Population</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0 to $49,999</w:t>
            </w:r>
          </w:p>
        </w:tc>
        <w:tc>
          <w:tcPr>
            <w:tcW w:w="3206" w:type="dxa"/>
          </w:tcPr>
          <w:p w:rsidR="00B5536D" w:rsidRDefault="00B5536D" w:rsidP="00764386">
            <w:pPr>
              <w:contextualSpacing/>
              <w:jc w:val="center"/>
              <w:rPr>
                <w:rFonts w:ascii="Garamond" w:hAnsi="Garamond"/>
              </w:rPr>
            </w:pPr>
            <w:r>
              <w:rPr>
                <w:rFonts w:ascii="Garamond" w:hAnsi="Garamond"/>
              </w:rPr>
              <w:t>10</w:t>
            </w:r>
          </w:p>
        </w:tc>
        <w:tc>
          <w:tcPr>
            <w:tcW w:w="2886" w:type="dxa"/>
          </w:tcPr>
          <w:p w:rsidR="00B5536D" w:rsidRDefault="00B5536D" w:rsidP="00764386">
            <w:pPr>
              <w:contextualSpacing/>
              <w:jc w:val="center"/>
              <w:rPr>
                <w:rFonts w:ascii="Garamond" w:hAnsi="Garamond"/>
              </w:rPr>
            </w:pPr>
            <w:r>
              <w:rPr>
                <w:rFonts w:ascii="Garamond" w:hAnsi="Garamond"/>
              </w:rPr>
              <w:t>10.4%</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$50,000 to $99,999</w:t>
            </w:r>
          </w:p>
        </w:tc>
        <w:tc>
          <w:tcPr>
            <w:tcW w:w="3206" w:type="dxa"/>
          </w:tcPr>
          <w:p w:rsidR="00B5536D" w:rsidRDefault="00B5536D" w:rsidP="00764386">
            <w:pPr>
              <w:contextualSpacing/>
              <w:jc w:val="center"/>
              <w:rPr>
                <w:rFonts w:ascii="Garamond" w:hAnsi="Garamond"/>
              </w:rPr>
            </w:pPr>
            <w:r>
              <w:rPr>
                <w:rFonts w:ascii="Garamond" w:hAnsi="Garamond"/>
              </w:rPr>
              <w:t>1</w:t>
            </w:r>
          </w:p>
        </w:tc>
        <w:tc>
          <w:tcPr>
            <w:tcW w:w="2886" w:type="dxa"/>
          </w:tcPr>
          <w:p w:rsidR="00B5536D" w:rsidRDefault="00B5536D" w:rsidP="00764386">
            <w:pPr>
              <w:contextualSpacing/>
              <w:jc w:val="center"/>
              <w:rPr>
                <w:rFonts w:ascii="Garamond" w:hAnsi="Garamond"/>
              </w:rPr>
            </w:pPr>
            <w:r>
              <w:rPr>
                <w:rFonts w:ascii="Garamond" w:hAnsi="Garamond"/>
              </w:rPr>
              <w:t>1.0%</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$100,000 to $149,999</w:t>
            </w:r>
          </w:p>
        </w:tc>
        <w:tc>
          <w:tcPr>
            <w:tcW w:w="3206" w:type="dxa"/>
          </w:tcPr>
          <w:p w:rsidR="00B5536D" w:rsidRDefault="00B5536D" w:rsidP="00764386">
            <w:pPr>
              <w:contextualSpacing/>
              <w:jc w:val="center"/>
              <w:rPr>
                <w:rFonts w:ascii="Garamond" w:hAnsi="Garamond"/>
              </w:rPr>
            </w:pPr>
            <w:r>
              <w:rPr>
                <w:rFonts w:ascii="Garamond" w:hAnsi="Garamond"/>
              </w:rPr>
              <w:t>19</w:t>
            </w:r>
          </w:p>
        </w:tc>
        <w:tc>
          <w:tcPr>
            <w:tcW w:w="2886" w:type="dxa"/>
          </w:tcPr>
          <w:p w:rsidR="00B5536D" w:rsidRDefault="00B5536D" w:rsidP="00764386">
            <w:pPr>
              <w:contextualSpacing/>
              <w:jc w:val="center"/>
              <w:rPr>
                <w:rFonts w:ascii="Garamond" w:hAnsi="Garamond"/>
              </w:rPr>
            </w:pPr>
            <w:r>
              <w:rPr>
                <w:rFonts w:ascii="Garamond" w:hAnsi="Garamond"/>
              </w:rPr>
              <w:t>19.8%</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$150,000 to $199,999</w:t>
            </w:r>
          </w:p>
        </w:tc>
        <w:tc>
          <w:tcPr>
            <w:tcW w:w="3206" w:type="dxa"/>
          </w:tcPr>
          <w:p w:rsidR="00B5536D" w:rsidRDefault="00B5536D" w:rsidP="00764386">
            <w:pPr>
              <w:contextualSpacing/>
              <w:jc w:val="center"/>
              <w:rPr>
                <w:rFonts w:ascii="Garamond" w:hAnsi="Garamond"/>
              </w:rPr>
            </w:pPr>
            <w:r>
              <w:rPr>
                <w:rFonts w:ascii="Garamond" w:hAnsi="Garamond"/>
              </w:rPr>
              <w:t>24</w:t>
            </w:r>
          </w:p>
        </w:tc>
        <w:tc>
          <w:tcPr>
            <w:tcW w:w="2886" w:type="dxa"/>
          </w:tcPr>
          <w:p w:rsidR="00B5536D" w:rsidRDefault="00B5536D" w:rsidP="00764386">
            <w:pPr>
              <w:contextualSpacing/>
              <w:jc w:val="center"/>
              <w:rPr>
                <w:rFonts w:ascii="Garamond" w:hAnsi="Garamond"/>
              </w:rPr>
            </w:pPr>
            <w:r>
              <w:rPr>
                <w:rFonts w:ascii="Garamond" w:hAnsi="Garamond"/>
              </w:rPr>
              <w:t>25.0%</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$200,000 to $299,999</w:t>
            </w:r>
          </w:p>
        </w:tc>
        <w:tc>
          <w:tcPr>
            <w:tcW w:w="3206" w:type="dxa"/>
          </w:tcPr>
          <w:p w:rsidR="00B5536D" w:rsidRDefault="00B5536D" w:rsidP="00764386">
            <w:pPr>
              <w:contextualSpacing/>
              <w:jc w:val="center"/>
              <w:rPr>
                <w:rFonts w:ascii="Garamond" w:hAnsi="Garamond"/>
              </w:rPr>
            </w:pPr>
            <w:r>
              <w:rPr>
                <w:rFonts w:ascii="Garamond" w:hAnsi="Garamond"/>
              </w:rPr>
              <w:t>9</w:t>
            </w:r>
          </w:p>
        </w:tc>
        <w:tc>
          <w:tcPr>
            <w:tcW w:w="2886" w:type="dxa"/>
          </w:tcPr>
          <w:p w:rsidR="00B5536D" w:rsidRDefault="00B5536D" w:rsidP="00764386">
            <w:pPr>
              <w:contextualSpacing/>
              <w:jc w:val="center"/>
              <w:rPr>
                <w:rFonts w:ascii="Garamond" w:hAnsi="Garamond"/>
              </w:rPr>
            </w:pPr>
            <w:r>
              <w:rPr>
                <w:rFonts w:ascii="Garamond" w:hAnsi="Garamond"/>
              </w:rPr>
              <w:t>9.4%</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$300,000 to $499,999</w:t>
            </w:r>
          </w:p>
        </w:tc>
        <w:tc>
          <w:tcPr>
            <w:tcW w:w="3206" w:type="dxa"/>
          </w:tcPr>
          <w:p w:rsidR="00B5536D" w:rsidRDefault="00B5536D" w:rsidP="00764386">
            <w:pPr>
              <w:contextualSpacing/>
              <w:jc w:val="center"/>
              <w:rPr>
                <w:rFonts w:ascii="Garamond" w:hAnsi="Garamond"/>
              </w:rPr>
            </w:pPr>
            <w:r>
              <w:rPr>
                <w:rFonts w:ascii="Garamond" w:hAnsi="Garamond"/>
              </w:rPr>
              <w:t>12</w:t>
            </w:r>
          </w:p>
        </w:tc>
        <w:tc>
          <w:tcPr>
            <w:tcW w:w="2886" w:type="dxa"/>
          </w:tcPr>
          <w:p w:rsidR="00B5536D" w:rsidRDefault="00B5536D" w:rsidP="00764386">
            <w:pPr>
              <w:contextualSpacing/>
              <w:jc w:val="center"/>
              <w:rPr>
                <w:rFonts w:ascii="Garamond" w:hAnsi="Garamond"/>
              </w:rPr>
            </w:pPr>
            <w:r>
              <w:rPr>
                <w:rFonts w:ascii="Garamond" w:hAnsi="Garamond"/>
              </w:rPr>
              <w:t>12.5%</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$500,000 to $999,999</w:t>
            </w:r>
          </w:p>
        </w:tc>
        <w:tc>
          <w:tcPr>
            <w:tcW w:w="3206" w:type="dxa"/>
          </w:tcPr>
          <w:p w:rsidR="00B5536D" w:rsidRDefault="00B5536D" w:rsidP="00764386">
            <w:pPr>
              <w:contextualSpacing/>
              <w:jc w:val="center"/>
              <w:rPr>
                <w:rFonts w:ascii="Garamond" w:hAnsi="Garamond"/>
              </w:rPr>
            </w:pPr>
            <w:r>
              <w:rPr>
                <w:rFonts w:ascii="Garamond" w:hAnsi="Garamond"/>
              </w:rPr>
              <w:t>21</w:t>
            </w:r>
          </w:p>
        </w:tc>
        <w:tc>
          <w:tcPr>
            <w:tcW w:w="2886" w:type="dxa"/>
          </w:tcPr>
          <w:p w:rsidR="00B5536D" w:rsidRDefault="00B5536D" w:rsidP="00764386">
            <w:pPr>
              <w:contextualSpacing/>
              <w:jc w:val="center"/>
              <w:rPr>
                <w:rFonts w:ascii="Garamond" w:hAnsi="Garamond"/>
              </w:rPr>
            </w:pPr>
            <w:r>
              <w:rPr>
                <w:rFonts w:ascii="Garamond" w:hAnsi="Garamond"/>
              </w:rPr>
              <w:t>21.9%</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$1,000,000 or more</w:t>
            </w:r>
          </w:p>
        </w:tc>
        <w:tc>
          <w:tcPr>
            <w:tcW w:w="3206" w:type="dxa"/>
          </w:tcPr>
          <w:p w:rsidR="00B5536D" w:rsidRDefault="00B5536D" w:rsidP="00764386">
            <w:pPr>
              <w:contextualSpacing/>
              <w:jc w:val="center"/>
              <w:rPr>
                <w:rFonts w:ascii="Garamond" w:hAnsi="Garamond"/>
              </w:rPr>
            </w:pPr>
            <w:r>
              <w:rPr>
                <w:rFonts w:ascii="Garamond" w:hAnsi="Garamond"/>
              </w:rPr>
              <w:t>0</w:t>
            </w:r>
          </w:p>
        </w:tc>
        <w:tc>
          <w:tcPr>
            <w:tcW w:w="2886" w:type="dxa"/>
          </w:tcPr>
          <w:p w:rsidR="00B5536D" w:rsidRDefault="00B5536D" w:rsidP="00764386">
            <w:pPr>
              <w:contextualSpacing/>
              <w:jc w:val="center"/>
              <w:rPr>
                <w:rFonts w:ascii="Garamond" w:hAnsi="Garamond"/>
              </w:rPr>
            </w:pPr>
            <w:r>
              <w:rPr>
                <w:rFonts w:ascii="Garamond" w:hAnsi="Garamond"/>
              </w:rPr>
              <w:t>0.0%</w:t>
            </w:r>
          </w:p>
        </w:tc>
      </w:tr>
      <w:tr w:rsidR="00B5536D" w:rsidTr="001B6FFE">
        <w:trPr>
          <w:trHeight w:val="275"/>
        </w:trPr>
        <w:tc>
          <w:tcPr>
            <w:tcW w:w="3014" w:type="dxa"/>
          </w:tcPr>
          <w:p w:rsidR="00B5536D" w:rsidRDefault="00B5536D" w:rsidP="00764386">
            <w:pPr>
              <w:contextualSpacing/>
              <w:rPr>
                <w:rFonts w:ascii="Garamond" w:hAnsi="Garamond"/>
              </w:rPr>
            </w:pPr>
            <w:r>
              <w:rPr>
                <w:rFonts w:ascii="Garamond" w:hAnsi="Garamond"/>
              </w:rPr>
              <w:t>Total</w:t>
            </w:r>
          </w:p>
        </w:tc>
        <w:tc>
          <w:tcPr>
            <w:tcW w:w="3206" w:type="dxa"/>
          </w:tcPr>
          <w:p w:rsidR="00B5536D" w:rsidRDefault="00B5536D" w:rsidP="00764386">
            <w:pPr>
              <w:contextualSpacing/>
              <w:jc w:val="center"/>
              <w:rPr>
                <w:rFonts w:ascii="Garamond" w:hAnsi="Garamond"/>
              </w:rPr>
            </w:pPr>
            <w:r>
              <w:rPr>
                <w:rFonts w:ascii="Garamond" w:hAnsi="Garamond"/>
              </w:rPr>
              <w:t>94</w:t>
            </w:r>
          </w:p>
        </w:tc>
        <w:tc>
          <w:tcPr>
            <w:tcW w:w="2886" w:type="dxa"/>
          </w:tcPr>
          <w:p w:rsidR="00B5536D" w:rsidRDefault="00B5536D" w:rsidP="00EE571F">
            <w:pPr>
              <w:keepNext/>
              <w:contextualSpacing/>
              <w:jc w:val="center"/>
              <w:rPr>
                <w:rFonts w:ascii="Garamond" w:hAnsi="Garamond"/>
              </w:rPr>
            </w:pPr>
            <w:r>
              <w:rPr>
                <w:rFonts w:ascii="Garamond" w:hAnsi="Garamond"/>
              </w:rPr>
              <w:t>100%</w:t>
            </w:r>
          </w:p>
        </w:tc>
      </w:tr>
    </w:tbl>
    <w:p w:rsidR="00EE571F" w:rsidRDefault="00EE571F" w:rsidP="00EE571F">
      <w:pPr>
        <w:pStyle w:val="Caption"/>
        <w:framePr w:hSpace="180" w:wrap="around" w:vAnchor="text" w:hAnchor="text" w:y="1"/>
        <w:suppressOverlap/>
      </w:pPr>
      <w:r>
        <w:t xml:space="preserve">Figure </w:t>
      </w:r>
      <w:fldSimple w:instr=" SEQ Figure \* ARABIC ">
        <w:r w:rsidR="00707511">
          <w:rPr>
            <w:noProof/>
          </w:rPr>
          <w:t>41</w:t>
        </w:r>
      </w:fldSimple>
    </w:p>
    <w:p w:rsidR="00B5536D" w:rsidRPr="00CD6EFD" w:rsidRDefault="00B5536D" w:rsidP="00764386">
      <w:pPr>
        <w:spacing w:line="240" w:lineRule="auto"/>
        <w:contextualSpacing/>
      </w:pPr>
    </w:p>
    <w:p w:rsidR="00EE571F" w:rsidRDefault="00EE571F" w:rsidP="00764386">
      <w:pPr>
        <w:spacing w:line="240" w:lineRule="auto"/>
        <w:contextualSpacing/>
        <w:rPr>
          <w:b/>
          <w:color w:val="4E5612"/>
          <w:sz w:val="25"/>
        </w:rPr>
      </w:pPr>
    </w:p>
    <w:p w:rsidR="00355BC6" w:rsidRDefault="00355BC6">
      <w:pPr>
        <w:rPr>
          <w:b/>
          <w:color w:val="4E5612"/>
          <w:sz w:val="25"/>
        </w:rPr>
      </w:pPr>
      <w:r>
        <w:rPr>
          <w:b/>
          <w:color w:val="4E5612"/>
          <w:sz w:val="25"/>
        </w:rPr>
        <w:br w:type="page"/>
      </w:r>
    </w:p>
    <w:p w:rsidR="00B5536D" w:rsidRPr="00B864AC" w:rsidRDefault="00B5536D" w:rsidP="00764386">
      <w:pPr>
        <w:spacing w:line="240" w:lineRule="auto"/>
        <w:contextualSpacing/>
        <w:rPr>
          <w:b/>
          <w:color w:val="4E5612"/>
          <w:sz w:val="25"/>
        </w:rPr>
      </w:pPr>
      <w:r w:rsidRPr="00B864AC">
        <w:rPr>
          <w:b/>
          <w:color w:val="4E5612"/>
          <w:sz w:val="25"/>
        </w:rPr>
        <w:lastRenderedPageBreak/>
        <w:t>Housing Costs</w:t>
      </w:r>
    </w:p>
    <w:p w:rsidR="00B5536D" w:rsidRPr="00256382" w:rsidRDefault="00B5536D" w:rsidP="00764386">
      <w:pPr>
        <w:spacing w:line="240" w:lineRule="auto"/>
        <w:contextualSpacing/>
      </w:pPr>
      <w:r w:rsidRPr="00256382">
        <w:t>The data sample for Island Park is quite small. Those actually living in Island Park either pay less than 20% on housing or more than 35%.</w:t>
      </w:r>
      <w:r w:rsidRPr="00256382">
        <w:rPr>
          <w:rStyle w:val="FootnoteReference"/>
        </w:rPr>
        <w:footnoteReference w:id="59"/>
      </w:r>
    </w:p>
    <w:p w:rsidR="00B5536D" w:rsidRPr="00256382" w:rsidRDefault="00B5536D" w:rsidP="00764386">
      <w:pPr>
        <w:spacing w:line="240" w:lineRule="auto"/>
        <w:contextualSpacing/>
      </w:pPr>
      <w: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394"/>
        <w:gridCol w:w="2394"/>
        <w:gridCol w:w="2394"/>
        <w:gridCol w:w="2394"/>
      </w:tblGrid>
      <w:tr w:rsidR="00B5536D" w:rsidTr="001B6FFE">
        <w:tc>
          <w:tcPr>
            <w:tcW w:w="2394" w:type="dxa"/>
          </w:tcPr>
          <w:p w:rsidR="00B5536D" w:rsidRPr="00C73389" w:rsidRDefault="00B5536D" w:rsidP="00764386">
            <w:pPr>
              <w:contextualSpacing/>
              <w:rPr>
                <w:rFonts w:ascii="Garamond" w:hAnsi="Garamond"/>
                <w:b/>
              </w:rPr>
            </w:pPr>
            <w:r w:rsidRPr="00C73389">
              <w:rPr>
                <w:rFonts w:ascii="Garamond" w:hAnsi="Garamond"/>
                <w:b/>
              </w:rPr>
              <w:t>Percent of Income Spent on Housing</w:t>
            </w:r>
          </w:p>
        </w:tc>
        <w:tc>
          <w:tcPr>
            <w:tcW w:w="2394" w:type="dxa"/>
          </w:tcPr>
          <w:p w:rsidR="00B5536D" w:rsidRPr="00C73389" w:rsidRDefault="00B5536D" w:rsidP="00764386">
            <w:pPr>
              <w:contextualSpacing/>
              <w:rPr>
                <w:rFonts w:ascii="Garamond" w:hAnsi="Garamond"/>
                <w:b/>
              </w:rPr>
            </w:pPr>
            <w:r w:rsidRPr="00C73389">
              <w:rPr>
                <w:rFonts w:ascii="Garamond" w:hAnsi="Garamond"/>
                <w:b/>
              </w:rPr>
              <w:t>Housing Costs with a Mortgage</w:t>
            </w:r>
          </w:p>
        </w:tc>
        <w:tc>
          <w:tcPr>
            <w:tcW w:w="2394" w:type="dxa"/>
          </w:tcPr>
          <w:p w:rsidR="00B5536D" w:rsidRPr="00C73389" w:rsidRDefault="00B5536D" w:rsidP="00764386">
            <w:pPr>
              <w:contextualSpacing/>
              <w:rPr>
                <w:rFonts w:ascii="Garamond" w:hAnsi="Garamond"/>
                <w:b/>
              </w:rPr>
            </w:pPr>
            <w:r w:rsidRPr="00C73389">
              <w:rPr>
                <w:rFonts w:ascii="Garamond" w:hAnsi="Garamond"/>
                <w:b/>
              </w:rPr>
              <w:t>Housing Costs without a Mortgage</w:t>
            </w:r>
          </w:p>
        </w:tc>
        <w:tc>
          <w:tcPr>
            <w:tcW w:w="2394" w:type="dxa"/>
          </w:tcPr>
          <w:p w:rsidR="00B5536D" w:rsidRPr="00C73389" w:rsidRDefault="00B5536D" w:rsidP="00764386">
            <w:pPr>
              <w:contextualSpacing/>
              <w:rPr>
                <w:rFonts w:ascii="Garamond" w:hAnsi="Garamond"/>
                <w:b/>
              </w:rPr>
            </w:pPr>
            <w:r w:rsidRPr="00C73389">
              <w:rPr>
                <w:rFonts w:ascii="Garamond" w:hAnsi="Garamond"/>
                <w:b/>
              </w:rPr>
              <w:t>Rental Costs</w:t>
            </w:r>
          </w:p>
        </w:tc>
      </w:tr>
      <w:tr w:rsidR="00B5536D" w:rsidTr="001B6FFE">
        <w:tc>
          <w:tcPr>
            <w:tcW w:w="2394" w:type="dxa"/>
          </w:tcPr>
          <w:p w:rsidR="00B5536D" w:rsidRDefault="00B5536D" w:rsidP="00764386">
            <w:pPr>
              <w:contextualSpacing/>
              <w:rPr>
                <w:rFonts w:ascii="Garamond" w:hAnsi="Garamond"/>
              </w:rPr>
            </w:pPr>
            <w:r>
              <w:rPr>
                <w:rFonts w:ascii="Garamond" w:hAnsi="Garamond"/>
              </w:rPr>
              <w:t>Less than 20%</w:t>
            </w:r>
          </w:p>
        </w:tc>
        <w:tc>
          <w:tcPr>
            <w:tcW w:w="2394" w:type="dxa"/>
          </w:tcPr>
          <w:p w:rsidR="00B5536D" w:rsidRDefault="00B5536D" w:rsidP="00764386">
            <w:pPr>
              <w:contextualSpacing/>
              <w:rPr>
                <w:rFonts w:ascii="Garamond" w:hAnsi="Garamond"/>
              </w:rPr>
            </w:pPr>
            <w:r>
              <w:rPr>
                <w:rFonts w:ascii="Garamond" w:hAnsi="Garamond"/>
              </w:rPr>
              <w:t>24.4%</w:t>
            </w:r>
          </w:p>
        </w:tc>
        <w:tc>
          <w:tcPr>
            <w:tcW w:w="2394" w:type="dxa"/>
          </w:tcPr>
          <w:p w:rsidR="00B5536D" w:rsidRDefault="00B5536D" w:rsidP="00764386">
            <w:pPr>
              <w:contextualSpacing/>
              <w:rPr>
                <w:rFonts w:ascii="Garamond" w:hAnsi="Garamond"/>
              </w:rPr>
            </w:pPr>
            <w:r>
              <w:rPr>
                <w:rFonts w:ascii="Garamond" w:hAnsi="Garamond"/>
              </w:rPr>
              <w:t>65.4%</w:t>
            </w:r>
          </w:p>
        </w:tc>
        <w:tc>
          <w:tcPr>
            <w:tcW w:w="2394" w:type="dxa"/>
          </w:tcPr>
          <w:p w:rsidR="00B5536D" w:rsidRDefault="00B5536D" w:rsidP="00764386">
            <w:pPr>
              <w:contextualSpacing/>
              <w:rPr>
                <w:rFonts w:ascii="Garamond" w:hAnsi="Garamond"/>
              </w:rPr>
            </w:pPr>
            <w:r>
              <w:rPr>
                <w:rFonts w:ascii="Garamond" w:hAnsi="Garamond"/>
              </w:rPr>
              <w:t>0.0%</w:t>
            </w:r>
          </w:p>
        </w:tc>
      </w:tr>
      <w:tr w:rsidR="00B5536D" w:rsidTr="001B6FFE">
        <w:tc>
          <w:tcPr>
            <w:tcW w:w="2394" w:type="dxa"/>
          </w:tcPr>
          <w:p w:rsidR="00B5536D" w:rsidRDefault="00B5536D" w:rsidP="00764386">
            <w:pPr>
              <w:contextualSpacing/>
              <w:rPr>
                <w:rFonts w:ascii="Garamond" w:hAnsi="Garamond"/>
              </w:rPr>
            </w:pPr>
            <w:r>
              <w:rPr>
                <w:rFonts w:ascii="Garamond" w:hAnsi="Garamond"/>
              </w:rPr>
              <w:t>20% to 24.9%</w:t>
            </w:r>
          </w:p>
        </w:tc>
        <w:tc>
          <w:tcPr>
            <w:tcW w:w="2394" w:type="dxa"/>
          </w:tcPr>
          <w:p w:rsidR="00B5536D" w:rsidRDefault="00B5536D" w:rsidP="00764386">
            <w:pPr>
              <w:contextualSpacing/>
              <w:rPr>
                <w:rFonts w:ascii="Garamond" w:hAnsi="Garamond"/>
              </w:rPr>
            </w:pPr>
            <w:r>
              <w:rPr>
                <w:rFonts w:ascii="Garamond" w:hAnsi="Garamond"/>
              </w:rPr>
              <w:t>0.0%</w:t>
            </w:r>
          </w:p>
        </w:tc>
        <w:tc>
          <w:tcPr>
            <w:tcW w:w="2394" w:type="dxa"/>
          </w:tcPr>
          <w:p w:rsidR="00B5536D" w:rsidRDefault="00B5536D" w:rsidP="00764386">
            <w:pPr>
              <w:contextualSpacing/>
              <w:rPr>
                <w:rFonts w:ascii="Garamond" w:hAnsi="Garamond"/>
              </w:rPr>
            </w:pPr>
            <w:r>
              <w:rPr>
                <w:rFonts w:ascii="Garamond" w:hAnsi="Garamond"/>
              </w:rPr>
              <w:t>0.0%</w:t>
            </w:r>
          </w:p>
        </w:tc>
        <w:tc>
          <w:tcPr>
            <w:tcW w:w="2394" w:type="dxa"/>
          </w:tcPr>
          <w:p w:rsidR="00B5536D" w:rsidRDefault="00B5536D" w:rsidP="00764386">
            <w:pPr>
              <w:contextualSpacing/>
              <w:rPr>
                <w:rFonts w:ascii="Garamond" w:hAnsi="Garamond"/>
              </w:rPr>
            </w:pPr>
            <w:r>
              <w:rPr>
                <w:rFonts w:ascii="Garamond" w:hAnsi="Garamond"/>
              </w:rPr>
              <w:t>0.0%</w:t>
            </w:r>
          </w:p>
        </w:tc>
      </w:tr>
      <w:tr w:rsidR="00B5536D" w:rsidTr="001B6FFE">
        <w:tc>
          <w:tcPr>
            <w:tcW w:w="2394" w:type="dxa"/>
          </w:tcPr>
          <w:p w:rsidR="00B5536D" w:rsidRDefault="00B5536D" w:rsidP="00764386">
            <w:pPr>
              <w:contextualSpacing/>
              <w:rPr>
                <w:rFonts w:ascii="Garamond" w:hAnsi="Garamond"/>
              </w:rPr>
            </w:pPr>
            <w:r>
              <w:rPr>
                <w:rFonts w:ascii="Garamond" w:hAnsi="Garamond"/>
              </w:rPr>
              <w:t>25% to 29.9%</w:t>
            </w:r>
          </w:p>
        </w:tc>
        <w:tc>
          <w:tcPr>
            <w:tcW w:w="2394" w:type="dxa"/>
          </w:tcPr>
          <w:p w:rsidR="00B5536D" w:rsidRDefault="00B5536D" w:rsidP="00764386">
            <w:pPr>
              <w:contextualSpacing/>
              <w:rPr>
                <w:rFonts w:ascii="Garamond" w:hAnsi="Garamond"/>
              </w:rPr>
            </w:pPr>
            <w:r>
              <w:rPr>
                <w:rFonts w:ascii="Garamond" w:hAnsi="Garamond"/>
              </w:rPr>
              <w:t>0.0%</w:t>
            </w:r>
          </w:p>
        </w:tc>
        <w:tc>
          <w:tcPr>
            <w:tcW w:w="2394" w:type="dxa"/>
          </w:tcPr>
          <w:p w:rsidR="00B5536D" w:rsidRDefault="00B5536D" w:rsidP="00764386">
            <w:pPr>
              <w:contextualSpacing/>
              <w:rPr>
                <w:rFonts w:ascii="Garamond" w:hAnsi="Garamond"/>
              </w:rPr>
            </w:pPr>
            <w:r>
              <w:rPr>
                <w:rFonts w:ascii="Garamond" w:hAnsi="Garamond"/>
              </w:rPr>
              <w:t>0.0%</w:t>
            </w:r>
          </w:p>
        </w:tc>
        <w:tc>
          <w:tcPr>
            <w:tcW w:w="2394" w:type="dxa"/>
          </w:tcPr>
          <w:p w:rsidR="00B5536D" w:rsidRDefault="00B5536D" w:rsidP="00764386">
            <w:pPr>
              <w:contextualSpacing/>
              <w:rPr>
                <w:rFonts w:ascii="Garamond" w:hAnsi="Garamond"/>
              </w:rPr>
            </w:pPr>
            <w:r>
              <w:rPr>
                <w:rFonts w:ascii="Garamond" w:hAnsi="Garamond"/>
              </w:rPr>
              <w:t>0.0%</w:t>
            </w:r>
          </w:p>
        </w:tc>
      </w:tr>
      <w:tr w:rsidR="00B5536D" w:rsidTr="001B6FFE">
        <w:tc>
          <w:tcPr>
            <w:tcW w:w="2394" w:type="dxa"/>
          </w:tcPr>
          <w:p w:rsidR="00B5536D" w:rsidRDefault="00B5536D" w:rsidP="00764386">
            <w:pPr>
              <w:contextualSpacing/>
              <w:rPr>
                <w:rFonts w:ascii="Garamond" w:hAnsi="Garamond"/>
              </w:rPr>
            </w:pPr>
            <w:r>
              <w:rPr>
                <w:rFonts w:ascii="Garamond" w:hAnsi="Garamond"/>
              </w:rPr>
              <w:t>30% to 34.9%</w:t>
            </w:r>
          </w:p>
        </w:tc>
        <w:tc>
          <w:tcPr>
            <w:tcW w:w="2394" w:type="dxa"/>
          </w:tcPr>
          <w:p w:rsidR="00B5536D" w:rsidRDefault="00B5536D" w:rsidP="00764386">
            <w:pPr>
              <w:contextualSpacing/>
              <w:rPr>
                <w:rFonts w:ascii="Garamond" w:hAnsi="Garamond"/>
              </w:rPr>
            </w:pPr>
            <w:r>
              <w:rPr>
                <w:rFonts w:ascii="Garamond" w:hAnsi="Garamond"/>
              </w:rPr>
              <w:t>12.2%</w:t>
            </w:r>
          </w:p>
        </w:tc>
        <w:tc>
          <w:tcPr>
            <w:tcW w:w="2394" w:type="dxa"/>
          </w:tcPr>
          <w:p w:rsidR="00B5536D" w:rsidRDefault="00B5536D" w:rsidP="00764386">
            <w:pPr>
              <w:contextualSpacing/>
              <w:rPr>
                <w:rFonts w:ascii="Garamond" w:hAnsi="Garamond"/>
              </w:rPr>
            </w:pPr>
            <w:r>
              <w:rPr>
                <w:rFonts w:ascii="Garamond" w:hAnsi="Garamond"/>
              </w:rPr>
              <w:t>0.0%</w:t>
            </w:r>
          </w:p>
        </w:tc>
        <w:tc>
          <w:tcPr>
            <w:tcW w:w="2394" w:type="dxa"/>
          </w:tcPr>
          <w:p w:rsidR="00B5536D" w:rsidRDefault="00B5536D" w:rsidP="00764386">
            <w:pPr>
              <w:contextualSpacing/>
              <w:rPr>
                <w:rFonts w:ascii="Garamond" w:hAnsi="Garamond"/>
              </w:rPr>
            </w:pPr>
            <w:r>
              <w:rPr>
                <w:rFonts w:ascii="Garamond" w:hAnsi="Garamond"/>
              </w:rPr>
              <w:t>0.0%</w:t>
            </w:r>
          </w:p>
        </w:tc>
      </w:tr>
      <w:tr w:rsidR="00B5536D" w:rsidTr="001B6FFE">
        <w:tc>
          <w:tcPr>
            <w:tcW w:w="2394" w:type="dxa"/>
          </w:tcPr>
          <w:p w:rsidR="00B5536D" w:rsidRDefault="00B5536D" w:rsidP="00764386">
            <w:pPr>
              <w:contextualSpacing/>
              <w:rPr>
                <w:rFonts w:ascii="Garamond" w:hAnsi="Garamond"/>
              </w:rPr>
            </w:pPr>
            <w:r>
              <w:rPr>
                <w:rFonts w:ascii="Garamond" w:hAnsi="Garamond"/>
              </w:rPr>
              <w:t>35% or more</w:t>
            </w:r>
          </w:p>
        </w:tc>
        <w:tc>
          <w:tcPr>
            <w:tcW w:w="2394" w:type="dxa"/>
          </w:tcPr>
          <w:p w:rsidR="00B5536D" w:rsidRDefault="00B5536D" w:rsidP="00764386">
            <w:pPr>
              <w:contextualSpacing/>
              <w:rPr>
                <w:rFonts w:ascii="Garamond" w:hAnsi="Garamond"/>
              </w:rPr>
            </w:pPr>
            <w:r>
              <w:rPr>
                <w:rFonts w:ascii="Garamond" w:hAnsi="Garamond"/>
              </w:rPr>
              <w:t>63.4%</w:t>
            </w:r>
          </w:p>
        </w:tc>
        <w:tc>
          <w:tcPr>
            <w:tcW w:w="2394" w:type="dxa"/>
          </w:tcPr>
          <w:p w:rsidR="00B5536D" w:rsidRDefault="00B5536D" w:rsidP="00764386">
            <w:pPr>
              <w:contextualSpacing/>
              <w:rPr>
                <w:rFonts w:ascii="Garamond" w:hAnsi="Garamond"/>
              </w:rPr>
            </w:pPr>
            <w:r>
              <w:rPr>
                <w:rFonts w:ascii="Garamond" w:hAnsi="Garamond"/>
              </w:rPr>
              <w:t>34.5%</w:t>
            </w:r>
          </w:p>
        </w:tc>
        <w:tc>
          <w:tcPr>
            <w:tcW w:w="2394" w:type="dxa"/>
          </w:tcPr>
          <w:p w:rsidR="00B5536D" w:rsidRDefault="00B5536D" w:rsidP="00EE571F">
            <w:pPr>
              <w:keepNext/>
              <w:contextualSpacing/>
              <w:rPr>
                <w:rFonts w:ascii="Garamond" w:hAnsi="Garamond"/>
              </w:rPr>
            </w:pPr>
            <w:r>
              <w:rPr>
                <w:rFonts w:ascii="Garamond" w:hAnsi="Garamond"/>
              </w:rPr>
              <w:t>100.0%</w:t>
            </w:r>
          </w:p>
        </w:tc>
      </w:tr>
    </w:tbl>
    <w:p w:rsidR="00B5536D" w:rsidRPr="00CD6EFD" w:rsidRDefault="00EE571F" w:rsidP="00EE571F">
      <w:pPr>
        <w:pStyle w:val="Caption"/>
      </w:pPr>
      <w:r>
        <w:t xml:space="preserve">Figure </w:t>
      </w:r>
      <w:fldSimple w:instr=" SEQ Figure \* ARABIC ">
        <w:r w:rsidR="00707511">
          <w:rPr>
            <w:noProof/>
          </w:rPr>
          <w:t>42</w:t>
        </w:r>
      </w:fldSimple>
    </w:p>
    <w:p w:rsidR="00B5536D" w:rsidRPr="00B864AC" w:rsidRDefault="00B5536D" w:rsidP="00764386">
      <w:pPr>
        <w:spacing w:line="240" w:lineRule="auto"/>
        <w:contextualSpacing/>
        <w:rPr>
          <w:b/>
          <w:color w:val="4E5612"/>
          <w:sz w:val="25"/>
        </w:rPr>
      </w:pPr>
      <w:r w:rsidRPr="00B864AC">
        <w:rPr>
          <w:b/>
          <w:color w:val="4E5612"/>
          <w:sz w:val="25"/>
        </w:rPr>
        <w:t>Available Housing</w:t>
      </w:r>
    </w:p>
    <w:p w:rsidR="00B5536D" w:rsidRPr="00CD6EFD" w:rsidRDefault="00B5536D" w:rsidP="00764386">
      <w:pPr>
        <w:spacing w:line="240" w:lineRule="auto"/>
        <w:contextualSpacing/>
      </w:pPr>
      <w:r w:rsidRPr="00CD6EFD">
        <w:t xml:space="preserve">There are 570 vacant housing units out of 692 in Island Park representing 82.4% of available housing with vacancies. </w:t>
      </w:r>
      <w:r w:rsidRPr="00CD6EFD">
        <w:rPr>
          <w:rStyle w:val="FootnoteReference"/>
        </w:rPr>
        <w:footnoteReference w:id="60"/>
      </w:r>
      <w:r w:rsidRPr="00CD6EFD">
        <w:t xml:space="preserve">  There are 441 homes for sale and one for rent on Zillow.com </w:t>
      </w:r>
      <w:r w:rsidRPr="00CD6EFD">
        <w:rPr>
          <w:rStyle w:val="FootnoteReference"/>
        </w:rPr>
        <w:footnoteReference w:id="61"/>
      </w:r>
    </w:p>
    <w:p w:rsidR="00B5536D" w:rsidRPr="00CD6EFD" w:rsidRDefault="00B5536D" w:rsidP="00764386">
      <w:pPr>
        <w:spacing w:line="240" w:lineRule="auto"/>
        <w:contextualSpacing/>
      </w:pPr>
      <w:r w:rsidRPr="00CD6EFD">
        <w:t xml:space="preserve">According to </w:t>
      </w:r>
      <w:proofErr w:type="spellStart"/>
      <w:r w:rsidRPr="00CD6EFD">
        <w:t>SnakeRiverMLS</w:t>
      </w:r>
      <w:proofErr w:type="spellEnd"/>
      <w:r w:rsidRPr="00CD6EFD">
        <w:t xml:space="preserve"> the average listing price in Island Park is </w:t>
      </w:r>
      <w:r>
        <w:t>$</w:t>
      </w:r>
      <w:r w:rsidRPr="00CD6EFD">
        <w:t>388</w:t>
      </w:r>
      <w:r>
        <w:t>,000.</w:t>
      </w:r>
      <w:r w:rsidRPr="00CD6EFD">
        <w:t xml:space="preserve"> </w:t>
      </w:r>
      <w:r w:rsidRPr="00CD6EFD">
        <w:rPr>
          <w:rStyle w:val="FootnoteReference"/>
        </w:rPr>
        <w:footnoteReference w:id="62"/>
      </w:r>
    </w:p>
    <w:p w:rsidR="00B5536D" w:rsidRPr="00CD6EFD" w:rsidRDefault="00B5536D" w:rsidP="00764386">
      <w:pPr>
        <w:spacing w:line="240" w:lineRule="auto"/>
        <w:contextualSpacing/>
      </w:pPr>
    </w:p>
    <w:p w:rsidR="00AA2CEB" w:rsidRDefault="00AA2CEB">
      <w:pPr>
        <w:rPr>
          <w:rFonts w:eastAsiaTheme="majorEastAsia" w:cstheme="majorBidi"/>
          <w:b/>
          <w:bCs/>
          <w:color w:val="556508"/>
          <w:sz w:val="26"/>
          <w:szCs w:val="26"/>
        </w:rPr>
      </w:pPr>
      <w:r>
        <w:br w:type="page"/>
      </w:r>
    </w:p>
    <w:p w:rsidR="00B5536D" w:rsidRPr="00B864AC" w:rsidRDefault="00B5536D" w:rsidP="00B864AC">
      <w:pPr>
        <w:pStyle w:val="Heading2"/>
      </w:pPr>
      <w:bookmarkStart w:id="15" w:name="_Toc329954140"/>
      <w:proofErr w:type="spellStart"/>
      <w:r w:rsidRPr="00B864AC">
        <w:lastRenderedPageBreak/>
        <w:t>Driggs</w:t>
      </w:r>
      <w:proofErr w:type="spellEnd"/>
      <w:r w:rsidRPr="00B864AC">
        <w:t>, Idaho</w:t>
      </w:r>
      <w:bookmarkEnd w:id="15"/>
    </w:p>
    <w:p w:rsidR="00B85456" w:rsidRDefault="00B85456"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t>Population</w:t>
      </w:r>
    </w:p>
    <w:p w:rsidR="00B5536D" w:rsidRPr="00774C11" w:rsidRDefault="00B5536D" w:rsidP="00764386">
      <w:pPr>
        <w:spacing w:line="240" w:lineRule="auto"/>
        <w:contextualSpacing/>
      </w:pPr>
      <w:r w:rsidRPr="00774C11">
        <w:t xml:space="preserve">According to the 2010 United Census report, </w:t>
      </w:r>
      <w:proofErr w:type="spellStart"/>
      <w:r w:rsidRPr="00774C11">
        <w:t>Driggs</w:t>
      </w:r>
      <w:proofErr w:type="spellEnd"/>
      <w:r w:rsidRPr="00774C11">
        <w:t xml:space="preserve">, Idaho had a population of 1,660. </w:t>
      </w:r>
    </w:p>
    <w:p w:rsidR="00B85456" w:rsidRDefault="00B85456"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t>Age</w:t>
      </w:r>
    </w:p>
    <w:p w:rsidR="00B85456" w:rsidRDefault="00B5536D" w:rsidP="00764386">
      <w:pPr>
        <w:spacing w:line="240" w:lineRule="auto"/>
        <w:contextualSpacing/>
      </w:pPr>
      <w:proofErr w:type="spellStart"/>
      <w:r>
        <w:t>Driggs</w:t>
      </w:r>
      <w:proofErr w:type="spellEnd"/>
      <w:r>
        <w:t xml:space="preserve"> has</w:t>
      </w:r>
      <w:r w:rsidRPr="00774C11">
        <w:t xml:space="preserve"> a median age of 30.6 years.</w:t>
      </w:r>
      <w:r>
        <w:rPr>
          <w:rStyle w:val="FootnoteReference"/>
        </w:rPr>
        <w:footnoteReference w:id="63"/>
      </w:r>
      <w:r w:rsidRPr="00774C11">
        <w:t xml:space="preserve"> Below is the age breakdown of the county population. </w:t>
      </w:r>
      <w:r>
        <w:t>The population is relatively young with the majority of the people under the age of 30.</w:t>
      </w:r>
    </w:p>
    <w:p w:rsidR="00B5536D" w:rsidRPr="00774C11" w:rsidRDefault="00B5536D" w:rsidP="00764386">
      <w:pPr>
        <w:spacing w:line="240" w:lineRule="auto"/>
        <w:contextualSpacing/>
      </w:pPr>
    </w:p>
    <w:tbl>
      <w:tblPr>
        <w:tblW w:w="2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060"/>
      </w:tblGrid>
      <w:tr w:rsidR="00B5536D" w:rsidRPr="00774C11" w:rsidTr="001B6FFE">
        <w:trPr>
          <w:trHeight w:val="240"/>
          <w:jc w:val="center"/>
        </w:trPr>
        <w:tc>
          <w:tcPr>
            <w:tcW w:w="1060" w:type="dxa"/>
            <w:shd w:val="clear" w:color="auto" w:fill="auto"/>
            <w:noWrap/>
            <w:vAlign w:val="bottom"/>
          </w:tcPr>
          <w:p w:rsidR="00B5536D" w:rsidRPr="00774C11" w:rsidRDefault="00B5536D" w:rsidP="00764386">
            <w:pPr>
              <w:spacing w:line="240" w:lineRule="auto"/>
              <w:contextualSpacing/>
              <w:rPr>
                <w:sz w:val="20"/>
                <w:szCs w:val="20"/>
              </w:rPr>
            </w:pPr>
            <w:r w:rsidRPr="00774C11">
              <w:rPr>
                <w:sz w:val="20"/>
                <w:szCs w:val="20"/>
              </w:rPr>
              <w:t>Age</w:t>
            </w:r>
          </w:p>
        </w:tc>
        <w:tc>
          <w:tcPr>
            <w:tcW w:w="1060" w:type="dxa"/>
            <w:shd w:val="clear" w:color="auto" w:fill="auto"/>
            <w:noWrap/>
            <w:vAlign w:val="bottom"/>
          </w:tcPr>
          <w:p w:rsidR="00B5536D" w:rsidRPr="00774C11" w:rsidRDefault="00B5536D" w:rsidP="00764386">
            <w:pPr>
              <w:spacing w:line="240" w:lineRule="auto"/>
              <w:contextualSpacing/>
              <w:rPr>
                <w:sz w:val="20"/>
                <w:szCs w:val="20"/>
              </w:rPr>
            </w:pPr>
            <w:r w:rsidRPr="00774C11">
              <w:rPr>
                <w:sz w:val="20"/>
                <w:szCs w:val="20"/>
              </w:rPr>
              <w:t>Number</w:t>
            </w:r>
          </w:p>
        </w:tc>
      </w:tr>
      <w:tr w:rsidR="00B5536D" w:rsidRPr="00774C11" w:rsidTr="001B6FFE">
        <w:trPr>
          <w:trHeight w:val="240"/>
          <w:jc w:val="center"/>
        </w:trPr>
        <w:tc>
          <w:tcPr>
            <w:tcW w:w="1060" w:type="dxa"/>
            <w:shd w:val="clear" w:color="auto" w:fill="auto"/>
            <w:noWrap/>
            <w:vAlign w:val="bottom"/>
          </w:tcPr>
          <w:p w:rsidR="00B5536D" w:rsidRPr="00774C11" w:rsidRDefault="00B5536D" w:rsidP="00764386">
            <w:pPr>
              <w:spacing w:line="240" w:lineRule="auto"/>
              <w:contextualSpacing/>
              <w:rPr>
                <w:sz w:val="20"/>
                <w:szCs w:val="20"/>
              </w:rPr>
            </w:pPr>
            <w:r w:rsidRPr="00774C11">
              <w:rPr>
                <w:sz w:val="20"/>
                <w:szCs w:val="20"/>
              </w:rPr>
              <w:t>Under 9</w:t>
            </w:r>
          </w:p>
        </w:tc>
        <w:tc>
          <w:tcPr>
            <w:tcW w:w="1060" w:type="dxa"/>
            <w:shd w:val="clear" w:color="auto" w:fill="auto"/>
            <w:noWrap/>
            <w:vAlign w:val="bottom"/>
          </w:tcPr>
          <w:p w:rsidR="00B5536D" w:rsidRPr="00774C11" w:rsidRDefault="00B5536D" w:rsidP="00764386">
            <w:pPr>
              <w:spacing w:line="240" w:lineRule="auto"/>
              <w:contextualSpacing/>
              <w:jc w:val="right"/>
              <w:rPr>
                <w:sz w:val="20"/>
                <w:szCs w:val="20"/>
              </w:rPr>
            </w:pPr>
            <w:r w:rsidRPr="00774C11">
              <w:rPr>
                <w:sz w:val="20"/>
                <w:szCs w:val="20"/>
              </w:rPr>
              <w:t>301</w:t>
            </w:r>
          </w:p>
        </w:tc>
      </w:tr>
      <w:tr w:rsidR="00B5536D" w:rsidRPr="00774C11" w:rsidTr="001B6FFE">
        <w:trPr>
          <w:trHeight w:val="240"/>
          <w:jc w:val="center"/>
        </w:trPr>
        <w:tc>
          <w:tcPr>
            <w:tcW w:w="1060" w:type="dxa"/>
            <w:shd w:val="clear" w:color="auto" w:fill="auto"/>
            <w:noWrap/>
            <w:vAlign w:val="bottom"/>
          </w:tcPr>
          <w:p w:rsidR="00B5536D" w:rsidRPr="00774C11" w:rsidRDefault="00B5536D" w:rsidP="00764386">
            <w:pPr>
              <w:spacing w:line="240" w:lineRule="auto"/>
              <w:contextualSpacing/>
              <w:rPr>
                <w:sz w:val="20"/>
                <w:szCs w:val="20"/>
              </w:rPr>
            </w:pPr>
            <w:r w:rsidRPr="00774C11">
              <w:rPr>
                <w:sz w:val="20"/>
                <w:szCs w:val="20"/>
              </w:rPr>
              <w:t>10-19</w:t>
            </w:r>
          </w:p>
        </w:tc>
        <w:tc>
          <w:tcPr>
            <w:tcW w:w="1060" w:type="dxa"/>
            <w:shd w:val="clear" w:color="auto" w:fill="auto"/>
            <w:noWrap/>
            <w:vAlign w:val="bottom"/>
          </w:tcPr>
          <w:p w:rsidR="00B5536D" w:rsidRPr="00774C11" w:rsidRDefault="00B5536D" w:rsidP="00764386">
            <w:pPr>
              <w:spacing w:line="240" w:lineRule="auto"/>
              <w:contextualSpacing/>
              <w:jc w:val="right"/>
              <w:rPr>
                <w:sz w:val="20"/>
                <w:szCs w:val="20"/>
              </w:rPr>
            </w:pPr>
            <w:r w:rsidRPr="00774C11">
              <w:rPr>
                <w:sz w:val="20"/>
                <w:szCs w:val="20"/>
              </w:rPr>
              <w:t>230</w:t>
            </w:r>
          </w:p>
        </w:tc>
      </w:tr>
      <w:tr w:rsidR="00B5536D" w:rsidRPr="00774C11" w:rsidTr="001B6FFE">
        <w:trPr>
          <w:trHeight w:val="240"/>
          <w:jc w:val="center"/>
        </w:trPr>
        <w:tc>
          <w:tcPr>
            <w:tcW w:w="1060" w:type="dxa"/>
            <w:shd w:val="clear" w:color="auto" w:fill="auto"/>
            <w:noWrap/>
            <w:vAlign w:val="bottom"/>
          </w:tcPr>
          <w:p w:rsidR="00B5536D" w:rsidRPr="00774C11" w:rsidRDefault="00B5536D" w:rsidP="00764386">
            <w:pPr>
              <w:spacing w:line="240" w:lineRule="auto"/>
              <w:contextualSpacing/>
              <w:rPr>
                <w:sz w:val="20"/>
                <w:szCs w:val="20"/>
              </w:rPr>
            </w:pPr>
            <w:r w:rsidRPr="00774C11">
              <w:rPr>
                <w:sz w:val="20"/>
                <w:szCs w:val="20"/>
              </w:rPr>
              <w:t>20-29</w:t>
            </w:r>
          </w:p>
        </w:tc>
        <w:tc>
          <w:tcPr>
            <w:tcW w:w="1060" w:type="dxa"/>
            <w:shd w:val="clear" w:color="auto" w:fill="auto"/>
            <w:noWrap/>
            <w:vAlign w:val="bottom"/>
          </w:tcPr>
          <w:p w:rsidR="00B5536D" w:rsidRPr="00774C11" w:rsidRDefault="00B5536D" w:rsidP="00764386">
            <w:pPr>
              <w:spacing w:line="240" w:lineRule="auto"/>
              <w:contextualSpacing/>
              <w:jc w:val="right"/>
              <w:rPr>
                <w:sz w:val="20"/>
                <w:szCs w:val="20"/>
              </w:rPr>
            </w:pPr>
            <w:r w:rsidRPr="00774C11">
              <w:rPr>
                <w:sz w:val="20"/>
                <w:szCs w:val="20"/>
              </w:rPr>
              <w:t>290</w:t>
            </w:r>
          </w:p>
        </w:tc>
      </w:tr>
      <w:tr w:rsidR="00B5536D" w:rsidRPr="00774C11" w:rsidTr="001B6FFE">
        <w:trPr>
          <w:trHeight w:val="240"/>
          <w:jc w:val="center"/>
        </w:trPr>
        <w:tc>
          <w:tcPr>
            <w:tcW w:w="1060" w:type="dxa"/>
            <w:shd w:val="clear" w:color="auto" w:fill="auto"/>
            <w:noWrap/>
            <w:vAlign w:val="bottom"/>
          </w:tcPr>
          <w:p w:rsidR="00B5536D" w:rsidRPr="00774C11" w:rsidRDefault="00B5536D" w:rsidP="00764386">
            <w:pPr>
              <w:spacing w:line="240" w:lineRule="auto"/>
              <w:contextualSpacing/>
              <w:rPr>
                <w:sz w:val="20"/>
                <w:szCs w:val="20"/>
              </w:rPr>
            </w:pPr>
            <w:r w:rsidRPr="00774C11">
              <w:rPr>
                <w:sz w:val="20"/>
                <w:szCs w:val="20"/>
              </w:rPr>
              <w:t>30-39</w:t>
            </w:r>
          </w:p>
        </w:tc>
        <w:tc>
          <w:tcPr>
            <w:tcW w:w="1060" w:type="dxa"/>
            <w:shd w:val="clear" w:color="auto" w:fill="auto"/>
            <w:noWrap/>
            <w:vAlign w:val="bottom"/>
          </w:tcPr>
          <w:p w:rsidR="00B5536D" w:rsidRPr="00774C11" w:rsidRDefault="00B5536D" w:rsidP="00764386">
            <w:pPr>
              <w:spacing w:line="240" w:lineRule="auto"/>
              <w:contextualSpacing/>
              <w:jc w:val="right"/>
              <w:rPr>
                <w:sz w:val="20"/>
                <w:szCs w:val="20"/>
              </w:rPr>
            </w:pPr>
            <w:r w:rsidRPr="00774C11">
              <w:rPr>
                <w:sz w:val="20"/>
                <w:szCs w:val="20"/>
              </w:rPr>
              <w:t>256</w:t>
            </w:r>
          </w:p>
        </w:tc>
      </w:tr>
      <w:tr w:rsidR="00B5536D" w:rsidRPr="00774C11" w:rsidTr="001B6FFE">
        <w:trPr>
          <w:trHeight w:val="240"/>
          <w:jc w:val="center"/>
        </w:trPr>
        <w:tc>
          <w:tcPr>
            <w:tcW w:w="1060" w:type="dxa"/>
            <w:shd w:val="clear" w:color="auto" w:fill="auto"/>
            <w:noWrap/>
            <w:vAlign w:val="bottom"/>
          </w:tcPr>
          <w:p w:rsidR="00B5536D" w:rsidRPr="00774C11" w:rsidRDefault="00B5536D" w:rsidP="00764386">
            <w:pPr>
              <w:spacing w:line="240" w:lineRule="auto"/>
              <w:contextualSpacing/>
              <w:rPr>
                <w:sz w:val="20"/>
                <w:szCs w:val="20"/>
              </w:rPr>
            </w:pPr>
            <w:r w:rsidRPr="00774C11">
              <w:rPr>
                <w:sz w:val="20"/>
                <w:szCs w:val="20"/>
              </w:rPr>
              <w:t>40-49</w:t>
            </w:r>
          </w:p>
        </w:tc>
        <w:tc>
          <w:tcPr>
            <w:tcW w:w="1060" w:type="dxa"/>
            <w:shd w:val="clear" w:color="auto" w:fill="auto"/>
            <w:noWrap/>
            <w:vAlign w:val="bottom"/>
          </w:tcPr>
          <w:p w:rsidR="00B5536D" w:rsidRPr="00774C11" w:rsidRDefault="00B5536D" w:rsidP="00764386">
            <w:pPr>
              <w:spacing w:line="240" w:lineRule="auto"/>
              <w:contextualSpacing/>
              <w:jc w:val="right"/>
              <w:rPr>
                <w:sz w:val="20"/>
                <w:szCs w:val="20"/>
              </w:rPr>
            </w:pPr>
            <w:r w:rsidRPr="00774C11">
              <w:rPr>
                <w:sz w:val="20"/>
                <w:szCs w:val="20"/>
              </w:rPr>
              <w:t>242</w:t>
            </w:r>
          </w:p>
        </w:tc>
      </w:tr>
      <w:tr w:rsidR="00B5536D" w:rsidRPr="00774C11" w:rsidTr="001B6FFE">
        <w:trPr>
          <w:trHeight w:val="240"/>
          <w:jc w:val="center"/>
        </w:trPr>
        <w:tc>
          <w:tcPr>
            <w:tcW w:w="1060" w:type="dxa"/>
            <w:shd w:val="clear" w:color="auto" w:fill="auto"/>
            <w:noWrap/>
            <w:vAlign w:val="bottom"/>
          </w:tcPr>
          <w:p w:rsidR="00B5536D" w:rsidRPr="00774C11" w:rsidRDefault="00B5536D" w:rsidP="00764386">
            <w:pPr>
              <w:spacing w:line="240" w:lineRule="auto"/>
              <w:contextualSpacing/>
              <w:rPr>
                <w:sz w:val="20"/>
                <w:szCs w:val="20"/>
              </w:rPr>
            </w:pPr>
            <w:r w:rsidRPr="00774C11">
              <w:rPr>
                <w:sz w:val="20"/>
                <w:szCs w:val="20"/>
              </w:rPr>
              <w:t>50-59</w:t>
            </w:r>
          </w:p>
        </w:tc>
        <w:tc>
          <w:tcPr>
            <w:tcW w:w="1060" w:type="dxa"/>
            <w:shd w:val="clear" w:color="auto" w:fill="auto"/>
            <w:noWrap/>
            <w:vAlign w:val="bottom"/>
          </w:tcPr>
          <w:p w:rsidR="00B5536D" w:rsidRPr="00774C11" w:rsidRDefault="00B5536D" w:rsidP="00764386">
            <w:pPr>
              <w:spacing w:line="240" w:lineRule="auto"/>
              <w:contextualSpacing/>
              <w:jc w:val="right"/>
              <w:rPr>
                <w:sz w:val="20"/>
                <w:szCs w:val="20"/>
              </w:rPr>
            </w:pPr>
            <w:r w:rsidRPr="00774C11">
              <w:rPr>
                <w:sz w:val="20"/>
                <w:szCs w:val="20"/>
              </w:rPr>
              <w:t>204</w:t>
            </w:r>
          </w:p>
        </w:tc>
      </w:tr>
      <w:tr w:rsidR="00B5536D" w:rsidRPr="00774C11" w:rsidTr="001B6FFE">
        <w:trPr>
          <w:trHeight w:val="240"/>
          <w:jc w:val="center"/>
        </w:trPr>
        <w:tc>
          <w:tcPr>
            <w:tcW w:w="1060" w:type="dxa"/>
            <w:shd w:val="clear" w:color="auto" w:fill="auto"/>
            <w:noWrap/>
            <w:vAlign w:val="bottom"/>
          </w:tcPr>
          <w:p w:rsidR="00B5536D" w:rsidRPr="00774C11" w:rsidRDefault="00B5536D" w:rsidP="00764386">
            <w:pPr>
              <w:spacing w:line="240" w:lineRule="auto"/>
              <w:contextualSpacing/>
              <w:rPr>
                <w:sz w:val="20"/>
                <w:szCs w:val="20"/>
              </w:rPr>
            </w:pPr>
            <w:r w:rsidRPr="00774C11">
              <w:rPr>
                <w:sz w:val="20"/>
                <w:szCs w:val="20"/>
              </w:rPr>
              <w:t>60-69</w:t>
            </w:r>
          </w:p>
        </w:tc>
        <w:tc>
          <w:tcPr>
            <w:tcW w:w="1060" w:type="dxa"/>
            <w:shd w:val="clear" w:color="auto" w:fill="auto"/>
            <w:noWrap/>
            <w:vAlign w:val="bottom"/>
          </w:tcPr>
          <w:p w:rsidR="00B5536D" w:rsidRPr="00774C11" w:rsidRDefault="00B5536D" w:rsidP="00764386">
            <w:pPr>
              <w:spacing w:line="240" w:lineRule="auto"/>
              <w:contextualSpacing/>
              <w:jc w:val="right"/>
              <w:rPr>
                <w:sz w:val="20"/>
                <w:szCs w:val="20"/>
              </w:rPr>
            </w:pPr>
            <w:r w:rsidRPr="00774C11">
              <w:rPr>
                <w:sz w:val="20"/>
                <w:szCs w:val="20"/>
              </w:rPr>
              <w:t>97</w:t>
            </w:r>
          </w:p>
        </w:tc>
      </w:tr>
      <w:tr w:rsidR="00B5536D" w:rsidRPr="00774C11" w:rsidTr="001B6FFE">
        <w:trPr>
          <w:trHeight w:val="240"/>
          <w:jc w:val="center"/>
        </w:trPr>
        <w:tc>
          <w:tcPr>
            <w:tcW w:w="1060" w:type="dxa"/>
            <w:shd w:val="clear" w:color="auto" w:fill="auto"/>
            <w:noWrap/>
            <w:vAlign w:val="bottom"/>
          </w:tcPr>
          <w:p w:rsidR="00B5536D" w:rsidRPr="00774C11" w:rsidRDefault="00B5536D" w:rsidP="00764386">
            <w:pPr>
              <w:spacing w:line="240" w:lineRule="auto"/>
              <w:contextualSpacing/>
              <w:rPr>
                <w:sz w:val="20"/>
                <w:szCs w:val="20"/>
              </w:rPr>
            </w:pPr>
            <w:r w:rsidRPr="00774C11">
              <w:rPr>
                <w:sz w:val="20"/>
                <w:szCs w:val="20"/>
              </w:rPr>
              <w:t>70-79</w:t>
            </w:r>
          </w:p>
        </w:tc>
        <w:tc>
          <w:tcPr>
            <w:tcW w:w="1060" w:type="dxa"/>
            <w:shd w:val="clear" w:color="auto" w:fill="auto"/>
            <w:noWrap/>
            <w:vAlign w:val="bottom"/>
          </w:tcPr>
          <w:p w:rsidR="00B5536D" w:rsidRPr="00774C11" w:rsidRDefault="00B5536D" w:rsidP="00764386">
            <w:pPr>
              <w:spacing w:line="240" w:lineRule="auto"/>
              <w:contextualSpacing/>
              <w:jc w:val="right"/>
              <w:rPr>
                <w:sz w:val="20"/>
                <w:szCs w:val="20"/>
              </w:rPr>
            </w:pPr>
            <w:r w:rsidRPr="00774C11">
              <w:rPr>
                <w:sz w:val="20"/>
                <w:szCs w:val="20"/>
              </w:rPr>
              <w:t>51</w:t>
            </w:r>
          </w:p>
        </w:tc>
      </w:tr>
      <w:tr w:rsidR="00B5536D" w:rsidRPr="00774C11" w:rsidTr="001B6FFE">
        <w:trPr>
          <w:trHeight w:val="240"/>
          <w:jc w:val="center"/>
        </w:trPr>
        <w:tc>
          <w:tcPr>
            <w:tcW w:w="1060" w:type="dxa"/>
            <w:shd w:val="clear" w:color="auto" w:fill="auto"/>
            <w:noWrap/>
            <w:vAlign w:val="bottom"/>
          </w:tcPr>
          <w:p w:rsidR="00B5536D" w:rsidRPr="00774C11" w:rsidRDefault="00B5536D" w:rsidP="00764386">
            <w:pPr>
              <w:spacing w:line="240" w:lineRule="auto"/>
              <w:contextualSpacing/>
              <w:rPr>
                <w:sz w:val="20"/>
                <w:szCs w:val="20"/>
              </w:rPr>
            </w:pPr>
            <w:r w:rsidRPr="00774C11">
              <w:rPr>
                <w:sz w:val="20"/>
                <w:szCs w:val="20"/>
              </w:rPr>
              <w:t>Over 80</w:t>
            </w:r>
          </w:p>
        </w:tc>
        <w:tc>
          <w:tcPr>
            <w:tcW w:w="1060" w:type="dxa"/>
            <w:shd w:val="clear" w:color="auto" w:fill="auto"/>
            <w:noWrap/>
            <w:vAlign w:val="bottom"/>
          </w:tcPr>
          <w:p w:rsidR="00B5536D" w:rsidRPr="00774C11" w:rsidRDefault="00B5536D" w:rsidP="00EE571F">
            <w:pPr>
              <w:keepNext/>
              <w:spacing w:line="240" w:lineRule="auto"/>
              <w:contextualSpacing/>
              <w:jc w:val="right"/>
              <w:rPr>
                <w:sz w:val="20"/>
                <w:szCs w:val="20"/>
              </w:rPr>
            </w:pPr>
            <w:r w:rsidRPr="00774C11">
              <w:rPr>
                <w:sz w:val="20"/>
                <w:szCs w:val="20"/>
              </w:rPr>
              <w:t>32</w:t>
            </w:r>
          </w:p>
        </w:tc>
      </w:tr>
    </w:tbl>
    <w:p w:rsidR="00B5536D" w:rsidRPr="00774C11" w:rsidRDefault="00EE571F" w:rsidP="00EE571F">
      <w:pPr>
        <w:pStyle w:val="Caption"/>
      </w:pPr>
      <w:r>
        <w:tab/>
      </w:r>
      <w:r>
        <w:tab/>
      </w:r>
      <w:r>
        <w:tab/>
      </w:r>
      <w:r>
        <w:tab/>
      </w:r>
      <w:r>
        <w:tab/>
        <w:t xml:space="preserve">Figure </w:t>
      </w:r>
      <w:fldSimple w:instr=" SEQ Figure \* ARABIC ">
        <w:r w:rsidR="00707511">
          <w:rPr>
            <w:noProof/>
          </w:rPr>
          <w:t>43</w:t>
        </w:r>
      </w:fldSimple>
    </w:p>
    <w:p w:rsidR="00B5536D" w:rsidRPr="00B864AC" w:rsidRDefault="00B5536D" w:rsidP="00764386">
      <w:pPr>
        <w:spacing w:line="240" w:lineRule="auto"/>
        <w:contextualSpacing/>
        <w:rPr>
          <w:b/>
          <w:color w:val="4E5612"/>
          <w:sz w:val="25"/>
        </w:rPr>
      </w:pPr>
      <w:r w:rsidRPr="00B864AC">
        <w:rPr>
          <w:b/>
          <w:color w:val="4E5612"/>
          <w:sz w:val="25"/>
        </w:rPr>
        <w:t xml:space="preserve">Employment </w:t>
      </w:r>
      <w:r w:rsidRPr="00B864AC">
        <w:rPr>
          <w:b/>
          <w:color w:val="4E5612"/>
          <w:sz w:val="25"/>
        </w:rPr>
        <w:tab/>
      </w:r>
    </w:p>
    <w:p w:rsidR="00B5536D" w:rsidRPr="00774C11" w:rsidRDefault="00B5536D" w:rsidP="00764386">
      <w:pPr>
        <w:spacing w:line="240" w:lineRule="auto"/>
        <w:contextualSpacing/>
      </w:pPr>
      <w:r w:rsidRPr="00774C11">
        <w:t xml:space="preserve">Of the 1,660 people residing in </w:t>
      </w:r>
      <w:proofErr w:type="spellStart"/>
      <w:r>
        <w:t>Driggs</w:t>
      </w:r>
      <w:proofErr w:type="spellEnd"/>
      <w:r w:rsidRPr="00774C11">
        <w:t>, 1,446 are over 16 years of age. The labor force of Teton County is 1,202. Of that number, 1,131 are employed with 71 unemployed. Those who are employed and have to commute to work have a mean commute time of 31.9 minutes.</w:t>
      </w:r>
      <w:r w:rsidRPr="00774C11">
        <w:rPr>
          <w:rStyle w:val="FootnoteReference"/>
        </w:rPr>
        <w:t xml:space="preserve"> </w:t>
      </w:r>
      <w:r w:rsidRPr="00774C11">
        <w:rPr>
          <w:rStyle w:val="FootnoteReference"/>
        </w:rPr>
        <w:footnoteReference w:id="64"/>
      </w:r>
    </w:p>
    <w:p w:rsidR="00B85456" w:rsidRDefault="00B85456" w:rsidP="00764386">
      <w:pPr>
        <w:spacing w:line="240" w:lineRule="auto"/>
        <w:contextualSpacing/>
        <w:rPr>
          <w:b/>
          <w:color w:val="4E5612"/>
          <w:sz w:val="25"/>
        </w:rPr>
      </w:pPr>
    </w:p>
    <w:p w:rsidR="00B85456" w:rsidRDefault="00B5536D" w:rsidP="00B85456">
      <w:pPr>
        <w:spacing w:line="240" w:lineRule="auto"/>
        <w:contextualSpacing/>
        <w:rPr>
          <w:b/>
          <w:color w:val="4E5612"/>
          <w:sz w:val="25"/>
        </w:rPr>
      </w:pPr>
      <w:r w:rsidRPr="00B864AC">
        <w:rPr>
          <w:b/>
          <w:color w:val="4E5612"/>
          <w:sz w:val="25"/>
        </w:rPr>
        <w:t xml:space="preserve">Income </w:t>
      </w:r>
    </w:p>
    <w:p w:rsidR="00B85456" w:rsidRDefault="00B5536D" w:rsidP="00B85456">
      <w:pPr>
        <w:spacing w:line="240" w:lineRule="auto"/>
        <w:contextualSpacing/>
      </w:pPr>
      <w:r w:rsidRPr="00774C11">
        <w:t xml:space="preserve">The Median household income in </w:t>
      </w:r>
      <w:proofErr w:type="spellStart"/>
      <w:r w:rsidRPr="00774C11">
        <w:t>Driggs</w:t>
      </w:r>
      <w:proofErr w:type="spellEnd"/>
      <w:r w:rsidRPr="00774C11">
        <w:t xml:space="preserve"> is $41,894 with the mean income being $52,726.</w:t>
      </w:r>
      <w:r w:rsidRPr="00774C11">
        <w:rPr>
          <w:rStyle w:val="FootnoteReference"/>
        </w:rPr>
        <w:footnoteReference w:id="65"/>
      </w:r>
      <w:r w:rsidR="00B85456">
        <w:t xml:space="preserve"> </w:t>
      </w:r>
      <w:r w:rsidRPr="00774C11">
        <w:t xml:space="preserve">Below is a breakdown of the 884 household incomes in </w:t>
      </w:r>
      <w:proofErr w:type="spellStart"/>
      <w:r w:rsidRPr="00774C11">
        <w:t>Driggs</w:t>
      </w:r>
      <w:proofErr w:type="spellEnd"/>
      <w:r w:rsidRPr="00774C11">
        <w:t xml:space="preserve">, Idaho.    </w:t>
      </w:r>
    </w:p>
    <w:p w:rsidR="00B5536D" w:rsidRPr="00B85456" w:rsidRDefault="00B5536D" w:rsidP="00B85456">
      <w:pPr>
        <w:spacing w:line="240" w:lineRule="auto"/>
        <w:contextualSpacing/>
        <w:rPr>
          <w:b/>
          <w:color w:val="4E5612"/>
          <w:sz w:val="25"/>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2"/>
        <w:gridCol w:w="2540"/>
      </w:tblGrid>
      <w:tr w:rsidR="00B5536D" w:rsidRPr="000D559D" w:rsidTr="001B6FFE">
        <w:trPr>
          <w:jc w:val="center"/>
        </w:trPr>
        <w:tc>
          <w:tcPr>
            <w:tcW w:w="2662" w:type="dxa"/>
          </w:tcPr>
          <w:p w:rsidR="00B5536D" w:rsidRPr="000D559D" w:rsidRDefault="00B5536D" w:rsidP="00764386">
            <w:pPr>
              <w:contextualSpacing/>
              <w:rPr>
                <w:rFonts w:ascii="Garamond" w:hAnsi="Garamond"/>
                <w:b/>
              </w:rPr>
            </w:pPr>
            <w:r w:rsidRPr="000D559D">
              <w:rPr>
                <w:rFonts w:ascii="Garamond" w:hAnsi="Garamond"/>
                <w:b/>
              </w:rPr>
              <w:t>Income</w:t>
            </w:r>
          </w:p>
        </w:tc>
        <w:tc>
          <w:tcPr>
            <w:tcW w:w="2540" w:type="dxa"/>
          </w:tcPr>
          <w:p w:rsidR="00B5536D" w:rsidRPr="000D559D" w:rsidRDefault="00B5536D" w:rsidP="00764386">
            <w:pPr>
              <w:contextualSpacing/>
              <w:jc w:val="center"/>
              <w:rPr>
                <w:rFonts w:ascii="Garamond" w:hAnsi="Garamond"/>
                <w:b/>
              </w:rPr>
            </w:pPr>
            <w:r w:rsidRPr="000D559D">
              <w:rPr>
                <w:rFonts w:ascii="Garamond" w:hAnsi="Garamond"/>
                <w:b/>
              </w:rPr>
              <w:t>Households</w:t>
            </w:r>
          </w:p>
        </w:tc>
      </w:tr>
      <w:tr w:rsidR="00B5536D" w:rsidRPr="000D559D" w:rsidTr="001B6FFE">
        <w:trPr>
          <w:jc w:val="center"/>
        </w:trPr>
        <w:tc>
          <w:tcPr>
            <w:tcW w:w="2662" w:type="dxa"/>
          </w:tcPr>
          <w:p w:rsidR="00B5536D" w:rsidRPr="000D559D" w:rsidRDefault="00B5536D" w:rsidP="00764386">
            <w:pPr>
              <w:contextualSpacing/>
              <w:rPr>
                <w:rFonts w:ascii="Garamond" w:hAnsi="Garamond"/>
              </w:rPr>
            </w:pPr>
            <w:r w:rsidRPr="000D559D">
              <w:rPr>
                <w:rFonts w:ascii="Garamond" w:hAnsi="Garamond"/>
              </w:rPr>
              <w:t>$0 to 9,999</w:t>
            </w:r>
          </w:p>
        </w:tc>
        <w:tc>
          <w:tcPr>
            <w:tcW w:w="2540" w:type="dxa"/>
          </w:tcPr>
          <w:p w:rsidR="00B5536D" w:rsidRPr="000D559D" w:rsidRDefault="00B5536D" w:rsidP="00764386">
            <w:pPr>
              <w:contextualSpacing/>
              <w:jc w:val="center"/>
              <w:rPr>
                <w:rFonts w:ascii="Garamond" w:hAnsi="Garamond"/>
              </w:rPr>
            </w:pPr>
            <w:r>
              <w:rPr>
                <w:rFonts w:ascii="Garamond" w:hAnsi="Garamond"/>
              </w:rPr>
              <w:t>34</w:t>
            </w:r>
          </w:p>
        </w:tc>
      </w:tr>
      <w:tr w:rsidR="00B5536D" w:rsidRPr="000D559D" w:rsidTr="001B6FFE">
        <w:trPr>
          <w:jc w:val="center"/>
        </w:trPr>
        <w:tc>
          <w:tcPr>
            <w:tcW w:w="2662" w:type="dxa"/>
          </w:tcPr>
          <w:p w:rsidR="00B5536D" w:rsidRPr="000D559D" w:rsidRDefault="00B5536D" w:rsidP="00764386">
            <w:pPr>
              <w:contextualSpacing/>
              <w:rPr>
                <w:rFonts w:ascii="Garamond" w:hAnsi="Garamond"/>
              </w:rPr>
            </w:pPr>
            <w:r w:rsidRPr="000D559D">
              <w:rPr>
                <w:rFonts w:ascii="Garamond" w:hAnsi="Garamond"/>
              </w:rPr>
              <w:t>$10,000 to $24,999</w:t>
            </w:r>
          </w:p>
        </w:tc>
        <w:tc>
          <w:tcPr>
            <w:tcW w:w="2540" w:type="dxa"/>
          </w:tcPr>
          <w:p w:rsidR="00B5536D" w:rsidRPr="000D559D" w:rsidRDefault="00B5536D" w:rsidP="00764386">
            <w:pPr>
              <w:contextualSpacing/>
              <w:jc w:val="center"/>
              <w:rPr>
                <w:rFonts w:ascii="Garamond" w:hAnsi="Garamond"/>
              </w:rPr>
            </w:pPr>
            <w:r>
              <w:rPr>
                <w:rFonts w:ascii="Garamond" w:hAnsi="Garamond"/>
              </w:rPr>
              <w:t>228</w:t>
            </w:r>
          </w:p>
        </w:tc>
      </w:tr>
      <w:tr w:rsidR="00B5536D" w:rsidRPr="000D559D" w:rsidTr="001B6FFE">
        <w:trPr>
          <w:jc w:val="center"/>
        </w:trPr>
        <w:tc>
          <w:tcPr>
            <w:tcW w:w="2662" w:type="dxa"/>
          </w:tcPr>
          <w:p w:rsidR="00B5536D" w:rsidRPr="000D559D" w:rsidRDefault="00B5536D" w:rsidP="00764386">
            <w:pPr>
              <w:contextualSpacing/>
              <w:rPr>
                <w:rFonts w:ascii="Garamond" w:hAnsi="Garamond"/>
              </w:rPr>
            </w:pPr>
            <w:r w:rsidRPr="000D559D">
              <w:rPr>
                <w:rFonts w:ascii="Garamond" w:hAnsi="Garamond"/>
              </w:rPr>
              <w:t>$25,000 to $49,999</w:t>
            </w:r>
          </w:p>
        </w:tc>
        <w:tc>
          <w:tcPr>
            <w:tcW w:w="2540" w:type="dxa"/>
          </w:tcPr>
          <w:p w:rsidR="00B5536D" w:rsidRPr="000D559D" w:rsidRDefault="00B5536D" w:rsidP="00764386">
            <w:pPr>
              <w:contextualSpacing/>
              <w:jc w:val="center"/>
              <w:rPr>
                <w:rFonts w:ascii="Garamond" w:hAnsi="Garamond"/>
              </w:rPr>
            </w:pPr>
            <w:r>
              <w:rPr>
                <w:rFonts w:ascii="Garamond" w:hAnsi="Garamond"/>
              </w:rPr>
              <w:t>239</w:t>
            </w:r>
          </w:p>
        </w:tc>
      </w:tr>
      <w:tr w:rsidR="00B5536D" w:rsidRPr="000D559D" w:rsidTr="001B6FFE">
        <w:trPr>
          <w:jc w:val="center"/>
        </w:trPr>
        <w:tc>
          <w:tcPr>
            <w:tcW w:w="2662" w:type="dxa"/>
          </w:tcPr>
          <w:p w:rsidR="00B5536D" w:rsidRPr="000D559D" w:rsidRDefault="00B5536D" w:rsidP="00764386">
            <w:pPr>
              <w:contextualSpacing/>
              <w:rPr>
                <w:rFonts w:ascii="Garamond" w:hAnsi="Garamond"/>
              </w:rPr>
            </w:pPr>
            <w:r w:rsidRPr="000D559D">
              <w:rPr>
                <w:rFonts w:ascii="Garamond" w:hAnsi="Garamond"/>
              </w:rPr>
              <w:t>$50,000 to $74,999</w:t>
            </w:r>
          </w:p>
        </w:tc>
        <w:tc>
          <w:tcPr>
            <w:tcW w:w="2540" w:type="dxa"/>
          </w:tcPr>
          <w:p w:rsidR="00B5536D" w:rsidRPr="000D559D" w:rsidRDefault="00B5536D" w:rsidP="00764386">
            <w:pPr>
              <w:contextualSpacing/>
              <w:jc w:val="center"/>
              <w:rPr>
                <w:rFonts w:ascii="Garamond" w:hAnsi="Garamond"/>
              </w:rPr>
            </w:pPr>
            <w:r>
              <w:rPr>
                <w:rFonts w:ascii="Garamond" w:hAnsi="Garamond"/>
              </w:rPr>
              <w:t>234</w:t>
            </w:r>
          </w:p>
        </w:tc>
      </w:tr>
      <w:tr w:rsidR="00B5536D" w:rsidRPr="000D559D" w:rsidTr="001B6FFE">
        <w:trPr>
          <w:jc w:val="center"/>
        </w:trPr>
        <w:tc>
          <w:tcPr>
            <w:tcW w:w="2662" w:type="dxa"/>
          </w:tcPr>
          <w:p w:rsidR="00B5536D" w:rsidRPr="000D559D" w:rsidRDefault="00B5536D" w:rsidP="00764386">
            <w:pPr>
              <w:contextualSpacing/>
              <w:rPr>
                <w:rFonts w:ascii="Garamond" w:hAnsi="Garamond"/>
              </w:rPr>
            </w:pPr>
            <w:r w:rsidRPr="000D559D">
              <w:rPr>
                <w:rFonts w:ascii="Garamond" w:hAnsi="Garamond"/>
              </w:rPr>
              <w:t>$75,000 to $99,999</w:t>
            </w:r>
          </w:p>
        </w:tc>
        <w:tc>
          <w:tcPr>
            <w:tcW w:w="2540" w:type="dxa"/>
          </w:tcPr>
          <w:p w:rsidR="00B5536D" w:rsidRPr="000D559D" w:rsidRDefault="00B5536D" w:rsidP="00764386">
            <w:pPr>
              <w:contextualSpacing/>
              <w:jc w:val="center"/>
              <w:rPr>
                <w:rFonts w:ascii="Garamond" w:hAnsi="Garamond"/>
              </w:rPr>
            </w:pPr>
            <w:r>
              <w:rPr>
                <w:rFonts w:ascii="Garamond" w:hAnsi="Garamond"/>
              </w:rPr>
              <w:t>81</w:t>
            </w:r>
          </w:p>
        </w:tc>
      </w:tr>
      <w:tr w:rsidR="00B5536D" w:rsidRPr="000D559D" w:rsidTr="001B6FFE">
        <w:trPr>
          <w:jc w:val="center"/>
        </w:trPr>
        <w:tc>
          <w:tcPr>
            <w:tcW w:w="2662" w:type="dxa"/>
          </w:tcPr>
          <w:p w:rsidR="00B5536D" w:rsidRPr="000D559D" w:rsidRDefault="00B5536D" w:rsidP="00764386">
            <w:pPr>
              <w:contextualSpacing/>
              <w:rPr>
                <w:rFonts w:ascii="Garamond" w:hAnsi="Garamond"/>
              </w:rPr>
            </w:pPr>
            <w:r w:rsidRPr="000D559D">
              <w:rPr>
                <w:rFonts w:ascii="Garamond" w:hAnsi="Garamond"/>
              </w:rPr>
              <w:t>$100,000 and Above</w:t>
            </w:r>
          </w:p>
        </w:tc>
        <w:tc>
          <w:tcPr>
            <w:tcW w:w="2540" w:type="dxa"/>
          </w:tcPr>
          <w:p w:rsidR="00B5536D" w:rsidRPr="000D559D" w:rsidRDefault="00B5536D" w:rsidP="00EE571F">
            <w:pPr>
              <w:keepNext/>
              <w:contextualSpacing/>
              <w:jc w:val="center"/>
              <w:rPr>
                <w:rFonts w:ascii="Garamond" w:hAnsi="Garamond"/>
              </w:rPr>
            </w:pPr>
            <w:r>
              <w:rPr>
                <w:rFonts w:ascii="Garamond" w:hAnsi="Garamond"/>
              </w:rPr>
              <w:t>48</w:t>
            </w:r>
          </w:p>
        </w:tc>
      </w:tr>
    </w:tbl>
    <w:p w:rsidR="00B85456" w:rsidRDefault="00EE571F" w:rsidP="00EE571F">
      <w:pPr>
        <w:pStyle w:val="Caption"/>
        <w:rPr>
          <w:b w:val="0"/>
          <w:color w:val="4E5612"/>
          <w:sz w:val="25"/>
        </w:rPr>
      </w:pPr>
      <w:r>
        <w:tab/>
      </w:r>
      <w:r>
        <w:tab/>
      </w:r>
      <w:r>
        <w:tab/>
        <w:t xml:space="preserve">Figure </w:t>
      </w:r>
      <w:fldSimple w:instr=" SEQ Figure \* ARABIC ">
        <w:r w:rsidR="00707511">
          <w:rPr>
            <w:noProof/>
          </w:rPr>
          <w:t>44</w:t>
        </w:r>
      </w:fldSimple>
    </w:p>
    <w:p w:rsidR="00355BC6" w:rsidRDefault="00355BC6" w:rsidP="00764386">
      <w:pPr>
        <w:spacing w:line="240" w:lineRule="auto"/>
        <w:contextualSpacing/>
        <w:rPr>
          <w:b/>
          <w:color w:val="4E5612"/>
          <w:sz w:val="25"/>
        </w:rPr>
      </w:pPr>
    </w:p>
    <w:p w:rsidR="00355BC6" w:rsidRDefault="00355BC6"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lastRenderedPageBreak/>
        <w:t>Home Values</w:t>
      </w:r>
    </w:p>
    <w:p w:rsidR="00B5536D" w:rsidRDefault="00B5536D" w:rsidP="00764386">
      <w:pPr>
        <w:spacing w:line="240" w:lineRule="auto"/>
        <w:contextualSpacing/>
      </w:pPr>
      <w:r>
        <w:t xml:space="preserve">The median home value in </w:t>
      </w:r>
      <w:proofErr w:type="spellStart"/>
      <w:r>
        <w:t>Driggs</w:t>
      </w:r>
      <w:proofErr w:type="spellEnd"/>
      <w:r>
        <w:t xml:space="preserve"> in $243,000.</w:t>
      </w:r>
      <w:r w:rsidRPr="00774C11">
        <w:t xml:space="preserve"> </w:t>
      </w:r>
      <w:r w:rsidRPr="00774C11">
        <w:rPr>
          <w:rStyle w:val="FootnoteReference"/>
        </w:rPr>
        <w:footnoteReference w:id="66"/>
      </w:r>
      <w:r>
        <w:t xml:space="preserve"> Almost 60% of the homes are valued between $200,000 and $499,999. </w:t>
      </w:r>
      <w:r w:rsidRPr="00774C11">
        <w:t>The following data was given from the U.S. Census Bureau in 2010:</w:t>
      </w:r>
    </w:p>
    <w:p w:rsidR="00355BC6" w:rsidRPr="00774C11" w:rsidRDefault="00355BC6" w:rsidP="00764386">
      <w:pPr>
        <w:spacing w:line="240" w:lineRule="auto"/>
        <w:contextualSpacing/>
      </w:pPr>
    </w:p>
    <w:tbl>
      <w:tblPr>
        <w:tblStyle w:val="TableGrid"/>
        <w:tblpPr w:leftFromText="180" w:rightFromText="180" w:vertAnchor="text" w:tblpY="1"/>
        <w:tblOverlap w:val="neve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14"/>
        <w:gridCol w:w="3206"/>
        <w:gridCol w:w="2886"/>
      </w:tblGrid>
      <w:tr w:rsidR="00B5536D" w:rsidRPr="000D559D" w:rsidTr="001B6FFE">
        <w:trPr>
          <w:trHeight w:val="275"/>
        </w:trPr>
        <w:tc>
          <w:tcPr>
            <w:tcW w:w="3014" w:type="dxa"/>
          </w:tcPr>
          <w:p w:rsidR="00B5536D" w:rsidRPr="000D559D" w:rsidRDefault="00B5536D" w:rsidP="00764386">
            <w:pPr>
              <w:contextualSpacing/>
              <w:rPr>
                <w:rFonts w:ascii="Garamond" w:hAnsi="Garamond"/>
                <w:b/>
              </w:rPr>
            </w:pPr>
            <w:r w:rsidRPr="000D559D">
              <w:rPr>
                <w:rFonts w:ascii="Garamond" w:hAnsi="Garamond"/>
                <w:b/>
              </w:rPr>
              <w:t>Value</w:t>
            </w:r>
          </w:p>
        </w:tc>
        <w:tc>
          <w:tcPr>
            <w:tcW w:w="3206" w:type="dxa"/>
          </w:tcPr>
          <w:p w:rsidR="00B5536D" w:rsidRPr="000D559D" w:rsidRDefault="00B5536D" w:rsidP="00764386">
            <w:pPr>
              <w:contextualSpacing/>
              <w:jc w:val="center"/>
              <w:rPr>
                <w:rFonts w:ascii="Garamond" w:hAnsi="Garamond"/>
                <w:b/>
              </w:rPr>
            </w:pPr>
            <w:r w:rsidRPr="000D559D">
              <w:rPr>
                <w:rFonts w:ascii="Garamond" w:hAnsi="Garamond"/>
                <w:b/>
              </w:rPr>
              <w:t>Owner Occupied Units</w:t>
            </w:r>
          </w:p>
        </w:tc>
        <w:tc>
          <w:tcPr>
            <w:tcW w:w="2886" w:type="dxa"/>
          </w:tcPr>
          <w:p w:rsidR="00B5536D" w:rsidRPr="000D559D" w:rsidRDefault="00B5536D" w:rsidP="00764386">
            <w:pPr>
              <w:contextualSpacing/>
              <w:jc w:val="center"/>
              <w:rPr>
                <w:rFonts w:ascii="Garamond" w:hAnsi="Garamond"/>
                <w:b/>
              </w:rPr>
            </w:pPr>
            <w:r w:rsidRPr="000D559D">
              <w:rPr>
                <w:rFonts w:ascii="Garamond" w:hAnsi="Garamond"/>
                <w:b/>
              </w:rPr>
              <w:t>Percentage of Population</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0 to $49,999</w:t>
            </w:r>
          </w:p>
        </w:tc>
        <w:tc>
          <w:tcPr>
            <w:tcW w:w="3206" w:type="dxa"/>
          </w:tcPr>
          <w:p w:rsidR="00B5536D" w:rsidRPr="000D559D" w:rsidRDefault="00B5536D" w:rsidP="00764386">
            <w:pPr>
              <w:contextualSpacing/>
              <w:jc w:val="center"/>
              <w:rPr>
                <w:rFonts w:ascii="Garamond" w:hAnsi="Garamond"/>
              </w:rPr>
            </w:pPr>
            <w:r>
              <w:rPr>
                <w:rFonts w:ascii="Garamond" w:hAnsi="Garamond"/>
              </w:rPr>
              <w:t>16</w:t>
            </w:r>
          </w:p>
        </w:tc>
        <w:tc>
          <w:tcPr>
            <w:tcW w:w="2886" w:type="dxa"/>
          </w:tcPr>
          <w:p w:rsidR="00B5536D" w:rsidRPr="000D559D" w:rsidRDefault="00B5536D" w:rsidP="00764386">
            <w:pPr>
              <w:contextualSpacing/>
              <w:jc w:val="center"/>
              <w:rPr>
                <w:rFonts w:ascii="Garamond" w:hAnsi="Garamond"/>
              </w:rPr>
            </w:pPr>
            <w:r>
              <w:rPr>
                <w:rFonts w:ascii="Garamond" w:hAnsi="Garamond"/>
              </w:rPr>
              <w:t>5.5</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$50,000 to $99,999</w:t>
            </w:r>
          </w:p>
        </w:tc>
        <w:tc>
          <w:tcPr>
            <w:tcW w:w="3206" w:type="dxa"/>
          </w:tcPr>
          <w:p w:rsidR="00B5536D" w:rsidRPr="000D559D" w:rsidRDefault="00B5536D" w:rsidP="00764386">
            <w:pPr>
              <w:contextualSpacing/>
              <w:jc w:val="center"/>
              <w:rPr>
                <w:rFonts w:ascii="Garamond" w:hAnsi="Garamond"/>
              </w:rPr>
            </w:pPr>
            <w:r>
              <w:rPr>
                <w:rFonts w:ascii="Garamond" w:hAnsi="Garamond"/>
              </w:rPr>
              <w:t>24</w:t>
            </w:r>
          </w:p>
        </w:tc>
        <w:tc>
          <w:tcPr>
            <w:tcW w:w="2886" w:type="dxa"/>
          </w:tcPr>
          <w:p w:rsidR="00B5536D" w:rsidRPr="000D559D" w:rsidRDefault="00B5536D" w:rsidP="00764386">
            <w:pPr>
              <w:contextualSpacing/>
              <w:jc w:val="center"/>
              <w:rPr>
                <w:rFonts w:ascii="Garamond" w:hAnsi="Garamond"/>
              </w:rPr>
            </w:pPr>
            <w:r>
              <w:rPr>
                <w:rFonts w:ascii="Garamond" w:hAnsi="Garamond"/>
              </w:rPr>
              <w:t>8.3</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$100,000 to $149,999</w:t>
            </w:r>
          </w:p>
        </w:tc>
        <w:tc>
          <w:tcPr>
            <w:tcW w:w="3206" w:type="dxa"/>
          </w:tcPr>
          <w:p w:rsidR="00B5536D" w:rsidRPr="000D559D" w:rsidRDefault="00B5536D" w:rsidP="00764386">
            <w:pPr>
              <w:contextualSpacing/>
              <w:jc w:val="center"/>
              <w:rPr>
                <w:rFonts w:ascii="Garamond" w:hAnsi="Garamond"/>
              </w:rPr>
            </w:pPr>
            <w:r>
              <w:rPr>
                <w:rFonts w:ascii="Garamond" w:hAnsi="Garamond"/>
              </w:rPr>
              <w:t>22</w:t>
            </w:r>
          </w:p>
        </w:tc>
        <w:tc>
          <w:tcPr>
            <w:tcW w:w="2886" w:type="dxa"/>
          </w:tcPr>
          <w:p w:rsidR="00B5536D" w:rsidRPr="000D559D" w:rsidRDefault="00B5536D" w:rsidP="00764386">
            <w:pPr>
              <w:contextualSpacing/>
              <w:jc w:val="center"/>
              <w:rPr>
                <w:rFonts w:ascii="Garamond" w:hAnsi="Garamond"/>
              </w:rPr>
            </w:pPr>
            <w:r>
              <w:rPr>
                <w:rFonts w:ascii="Garamond" w:hAnsi="Garamond"/>
              </w:rPr>
              <w:t>7.6</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$150,000 to $199,999</w:t>
            </w:r>
          </w:p>
        </w:tc>
        <w:tc>
          <w:tcPr>
            <w:tcW w:w="3206" w:type="dxa"/>
          </w:tcPr>
          <w:p w:rsidR="00B5536D" w:rsidRPr="000D559D" w:rsidRDefault="00B5536D" w:rsidP="00764386">
            <w:pPr>
              <w:contextualSpacing/>
              <w:jc w:val="center"/>
              <w:rPr>
                <w:rFonts w:ascii="Garamond" w:hAnsi="Garamond"/>
              </w:rPr>
            </w:pPr>
            <w:r>
              <w:rPr>
                <w:rFonts w:ascii="Garamond" w:hAnsi="Garamond"/>
              </w:rPr>
              <w:t>55</w:t>
            </w:r>
          </w:p>
        </w:tc>
        <w:tc>
          <w:tcPr>
            <w:tcW w:w="2886" w:type="dxa"/>
          </w:tcPr>
          <w:p w:rsidR="00B5536D" w:rsidRPr="000D559D" w:rsidRDefault="00B5536D" w:rsidP="00764386">
            <w:pPr>
              <w:contextualSpacing/>
              <w:jc w:val="center"/>
              <w:rPr>
                <w:rFonts w:ascii="Garamond" w:hAnsi="Garamond"/>
              </w:rPr>
            </w:pPr>
            <w:r>
              <w:rPr>
                <w:rFonts w:ascii="Garamond" w:hAnsi="Garamond"/>
              </w:rPr>
              <w:t>19.0</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$200,000 to $299,999</w:t>
            </w:r>
          </w:p>
        </w:tc>
        <w:tc>
          <w:tcPr>
            <w:tcW w:w="3206" w:type="dxa"/>
          </w:tcPr>
          <w:p w:rsidR="00B5536D" w:rsidRPr="000D559D" w:rsidRDefault="00B5536D" w:rsidP="00764386">
            <w:pPr>
              <w:contextualSpacing/>
              <w:jc w:val="center"/>
              <w:rPr>
                <w:rFonts w:ascii="Garamond" w:hAnsi="Garamond"/>
              </w:rPr>
            </w:pPr>
            <w:r>
              <w:rPr>
                <w:rFonts w:ascii="Garamond" w:hAnsi="Garamond"/>
              </w:rPr>
              <w:t>83</w:t>
            </w:r>
          </w:p>
        </w:tc>
        <w:tc>
          <w:tcPr>
            <w:tcW w:w="2886" w:type="dxa"/>
          </w:tcPr>
          <w:p w:rsidR="00B5536D" w:rsidRPr="000D559D" w:rsidRDefault="00B5536D" w:rsidP="00764386">
            <w:pPr>
              <w:contextualSpacing/>
              <w:jc w:val="center"/>
              <w:rPr>
                <w:rFonts w:ascii="Garamond" w:hAnsi="Garamond"/>
              </w:rPr>
            </w:pPr>
            <w:r>
              <w:rPr>
                <w:rFonts w:ascii="Garamond" w:hAnsi="Garamond"/>
              </w:rPr>
              <w:t>28.7</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$300,000 to $499,999</w:t>
            </w:r>
          </w:p>
        </w:tc>
        <w:tc>
          <w:tcPr>
            <w:tcW w:w="3206" w:type="dxa"/>
          </w:tcPr>
          <w:p w:rsidR="00B5536D" w:rsidRPr="000D559D" w:rsidRDefault="00B5536D" w:rsidP="00764386">
            <w:pPr>
              <w:contextualSpacing/>
              <w:jc w:val="center"/>
              <w:rPr>
                <w:rFonts w:ascii="Garamond" w:hAnsi="Garamond"/>
              </w:rPr>
            </w:pPr>
            <w:r>
              <w:rPr>
                <w:rFonts w:ascii="Garamond" w:hAnsi="Garamond"/>
              </w:rPr>
              <w:t>86</w:t>
            </w:r>
          </w:p>
        </w:tc>
        <w:tc>
          <w:tcPr>
            <w:tcW w:w="2886" w:type="dxa"/>
          </w:tcPr>
          <w:p w:rsidR="00B5536D" w:rsidRPr="000D559D" w:rsidRDefault="00B5536D" w:rsidP="00764386">
            <w:pPr>
              <w:contextualSpacing/>
              <w:jc w:val="center"/>
              <w:rPr>
                <w:rFonts w:ascii="Garamond" w:hAnsi="Garamond"/>
              </w:rPr>
            </w:pPr>
            <w:r>
              <w:rPr>
                <w:rFonts w:ascii="Garamond" w:hAnsi="Garamond"/>
              </w:rPr>
              <w:t>29.8</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$500,000 to $999,999</w:t>
            </w:r>
          </w:p>
        </w:tc>
        <w:tc>
          <w:tcPr>
            <w:tcW w:w="3206" w:type="dxa"/>
          </w:tcPr>
          <w:p w:rsidR="00B5536D" w:rsidRPr="000D559D" w:rsidRDefault="00B5536D" w:rsidP="00764386">
            <w:pPr>
              <w:contextualSpacing/>
              <w:jc w:val="center"/>
              <w:rPr>
                <w:rFonts w:ascii="Garamond" w:hAnsi="Garamond"/>
              </w:rPr>
            </w:pPr>
            <w:r>
              <w:rPr>
                <w:rFonts w:ascii="Garamond" w:hAnsi="Garamond"/>
              </w:rPr>
              <w:t>3</w:t>
            </w:r>
          </w:p>
        </w:tc>
        <w:tc>
          <w:tcPr>
            <w:tcW w:w="2886" w:type="dxa"/>
          </w:tcPr>
          <w:p w:rsidR="00B5536D" w:rsidRPr="000D559D" w:rsidRDefault="00B5536D" w:rsidP="00764386">
            <w:pPr>
              <w:contextualSpacing/>
              <w:jc w:val="center"/>
              <w:rPr>
                <w:rFonts w:ascii="Garamond" w:hAnsi="Garamond"/>
              </w:rPr>
            </w:pPr>
            <w:r>
              <w:rPr>
                <w:rFonts w:ascii="Garamond" w:hAnsi="Garamond"/>
              </w:rPr>
              <w:t>1.0</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$1,000,000 or more</w:t>
            </w:r>
          </w:p>
        </w:tc>
        <w:tc>
          <w:tcPr>
            <w:tcW w:w="3206" w:type="dxa"/>
          </w:tcPr>
          <w:p w:rsidR="00B5536D" w:rsidRPr="000D559D" w:rsidRDefault="00B5536D" w:rsidP="00764386">
            <w:pPr>
              <w:contextualSpacing/>
              <w:jc w:val="center"/>
              <w:rPr>
                <w:rFonts w:ascii="Garamond" w:hAnsi="Garamond"/>
              </w:rPr>
            </w:pPr>
            <w:r>
              <w:rPr>
                <w:rFonts w:ascii="Garamond" w:hAnsi="Garamond"/>
              </w:rPr>
              <w:t>0</w:t>
            </w:r>
          </w:p>
        </w:tc>
        <w:tc>
          <w:tcPr>
            <w:tcW w:w="2886" w:type="dxa"/>
          </w:tcPr>
          <w:p w:rsidR="00B5536D" w:rsidRPr="000D559D" w:rsidRDefault="00B5536D" w:rsidP="00764386">
            <w:pPr>
              <w:contextualSpacing/>
              <w:jc w:val="center"/>
              <w:rPr>
                <w:rFonts w:ascii="Garamond" w:hAnsi="Garamond"/>
              </w:rPr>
            </w:pPr>
            <w:r w:rsidRPr="000D559D">
              <w:rPr>
                <w:rFonts w:ascii="Garamond" w:hAnsi="Garamond"/>
              </w:rPr>
              <w:t>0.0%</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Total</w:t>
            </w:r>
          </w:p>
        </w:tc>
        <w:tc>
          <w:tcPr>
            <w:tcW w:w="3206" w:type="dxa"/>
          </w:tcPr>
          <w:p w:rsidR="00B5536D" w:rsidRPr="000D559D" w:rsidRDefault="00B5536D" w:rsidP="00764386">
            <w:pPr>
              <w:contextualSpacing/>
              <w:jc w:val="center"/>
              <w:rPr>
                <w:rFonts w:ascii="Garamond" w:hAnsi="Garamond"/>
              </w:rPr>
            </w:pPr>
            <w:r>
              <w:rPr>
                <w:rFonts w:ascii="Garamond" w:hAnsi="Garamond"/>
              </w:rPr>
              <w:t>289</w:t>
            </w:r>
          </w:p>
        </w:tc>
        <w:tc>
          <w:tcPr>
            <w:tcW w:w="2886" w:type="dxa"/>
          </w:tcPr>
          <w:p w:rsidR="00B5536D" w:rsidRPr="000D559D" w:rsidRDefault="00B5536D" w:rsidP="00EE571F">
            <w:pPr>
              <w:keepNext/>
              <w:contextualSpacing/>
              <w:jc w:val="center"/>
              <w:rPr>
                <w:rFonts w:ascii="Garamond" w:hAnsi="Garamond"/>
              </w:rPr>
            </w:pPr>
            <w:r w:rsidRPr="000D559D">
              <w:rPr>
                <w:rFonts w:ascii="Garamond" w:hAnsi="Garamond"/>
              </w:rPr>
              <w:t>100%</w:t>
            </w:r>
          </w:p>
        </w:tc>
      </w:tr>
    </w:tbl>
    <w:p w:rsidR="00EE571F" w:rsidRDefault="00EE571F" w:rsidP="00EE571F">
      <w:pPr>
        <w:pStyle w:val="Caption"/>
        <w:framePr w:hSpace="180" w:wrap="around" w:vAnchor="text" w:hAnchor="text" w:y="1"/>
        <w:suppressOverlap/>
      </w:pPr>
      <w:r>
        <w:t xml:space="preserve">Figure </w:t>
      </w:r>
      <w:fldSimple w:instr=" SEQ Figure \* ARABIC ">
        <w:r w:rsidR="00707511">
          <w:rPr>
            <w:noProof/>
          </w:rPr>
          <w:t>45</w:t>
        </w:r>
      </w:fldSimple>
    </w:p>
    <w:p w:rsidR="00B5536D" w:rsidRDefault="00B5536D" w:rsidP="00764386">
      <w:pPr>
        <w:spacing w:line="240" w:lineRule="auto"/>
        <w:contextualSpacing/>
      </w:pPr>
    </w:p>
    <w:p w:rsidR="00B85456" w:rsidRDefault="00B85456"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t xml:space="preserve">Housing Costs </w:t>
      </w:r>
    </w:p>
    <w:p w:rsidR="00B5536D" w:rsidRDefault="00B5536D" w:rsidP="00764386">
      <w:pPr>
        <w:spacing w:line="240" w:lineRule="auto"/>
        <w:contextualSpacing/>
      </w:pPr>
      <w:r>
        <w:t xml:space="preserve">In </w:t>
      </w:r>
      <w:proofErr w:type="spellStart"/>
      <w:r>
        <w:t>Driggs</w:t>
      </w:r>
      <w:proofErr w:type="spellEnd"/>
      <w:r>
        <w:t>, 37.8% of the people with a mortgage are paying more than 30% of their income on housing costs. Of those paying rent, 38.7% of the people pay more than 30% of their income on rental costs.</w:t>
      </w:r>
      <w:r>
        <w:rPr>
          <w:rStyle w:val="FootnoteReference"/>
        </w:rPr>
        <w:footnoteReference w:id="67"/>
      </w:r>
    </w:p>
    <w:p w:rsidR="00355BC6" w:rsidRPr="00774C11" w:rsidRDefault="00355BC6" w:rsidP="00764386">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394"/>
        <w:gridCol w:w="2394"/>
        <w:gridCol w:w="2394"/>
        <w:gridCol w:w="2394"/>
      </w:tblGrid>
      <w:tr w:rsidR="00B5536D" w:rsidTr="001B6FFE">
        <w:tc>
          <w:tcPr>
            <w:tcW w:w="2394" w:type="dxa"/>
          </w:tcPr>
          <w:p w:rsidR="00B5536D" w:rsidRPr="00C73389" w:rsidRDefault="00B5536D" w:rsidP="00764386">
            <w:pPr>
              <w:contextualSpacing/>
              <w:rPr>
                <w:rFonts w:ascii="Garamond" w:hAnsi="Garamond"/>
                <w:b/>
              </w:rPr>
            </w:pPr>
            <w:r w:rsidRPr="00C73389">
              <w:rPr>
                <w:rFonts w:ascii="Garamond" w:hAnsi="Garamond"/>
                <w:b/>
              </w:rPr>
              <w:t>Percent of Income Spent on Housing</w:t>
            </w:r>
          </w:p>
        </w:tc>
        <w:tc>
          <w:tcPr>
            <w:tcW w:w="2394" w:type="dxa"/>
          </w:tcPr>
          <w:p w:rsidR="00B5536D" w:rsidRPr="00C73389" w:rsidRDefault="00B5536D" w:rsidP="00764386">
            <w:pPr>
              <w:contextualSpacing/>
              <w:rPr>
                <w:rFonts w:ascii="Garamond" w:hAnsi="Garamond"/>
                <w:b/>
              </w:rPr>
            </w:pPr>
            <w:r w:rsidRPr="00C73389">
              <w:rPr>
                <w:rFonts w:ascii="Garamond" w:hAnsi="Garamond"/>
                <w:b/>
              </w:rPr>
              <w:t>Housing Costs with a Mortgage</w:t>
            </w:r>
          </w:p>
        </w:tc>
        <w:tc>
          <w:tcPr>
            <w:tcW w:w="2394" w:type="dxa"/>
          </w:tcPr>
          <w:p w:rsidR="00B5536D" w:rsidRPr="00C73389" w:rsidRDefault="00B5536D" w:rsidP="00764386">
            <w:pPr>
              <w:contextualSpacing/>
              <w:rPr>
                <w:rFonts w:ascii="Garamond" w:hAnsi="Garamond"/>
                <w:b/>
              </w:rPr>
            </w:pPr>
            <w:r w:rsidRPr="00C73389">
              <w:rPr>
                <w:rFonts w:ascii="Garamond" w:hAnsi="Garamond"/>
                <w:b/>
              </w:rPr>
              <w:t>Housing Costs without a Mortgage</w:t>
            </w:r>
          </w:p>
        </w:tc>
        <w:tc>
          <w:tcPr>
            <w:tcW w:w="2394" w:type="dxa"/>
          </w:tcPr>
          <w:p w:rsidR="00B5536D" w:rsidRPr="00C73389" w:rsidRDefault="00B5536D" w:rsidP="00764386">
            <w:pPr>
              <w:contextualSpacing/>
              <w:rPr>
                <w:rFonts w:ascii="Garamond" w:hAnsi="Garamond"/>
                <w:b/>
              </w:rPr>
            </w:pPr>
            <w:r w:rsidRPr="00C73389">
              <w:rPr>
                <w:rFonts w:ascii="Garamond" w:hAnsi="Garamond"/>
                <w:b/>
              </w:rPr>
              <w:t>Rental Costs</w:t>
            </w:r>
          </w:p>
        </w:tc>
      </w:tr>
      <w:tr w:rsidR="00B5536D" w:rsidTr="001B6FFE">
        <w:tc>
          <w:tcPr>
            <w:tcW w:w="2394" w:type="dxa"/>
          </w:tcPr>
          <w:p w:rsidR="00B5536D" w:rsidRDefault="00B5536D" w:rsidP="00764386">
            <w:pPr>
              <w:contextualSpacing/>
              <w:rPr>
                <w:rFonts w:ascii="Garamond" w:hAnsi="Garamond"/>
              </w:rPr>
            </w:pPr>
            <w:r>
              <w:rPr>
                <w:rFonts w:ascii="Garamond" w:hAnsi="Garamond"/>
              </w:rPr>
              <w:t>Less than 20%</w:t>
            </w:r>
          </w:p>
        </w:tc>
        <w:tc>
          <w:tcPr>
            <w:tcW w:w="2394" w:type="dxa"/>
          </w:tcPr>
          <w:p w:rsidR="00B5536D" w:rsidRDefault="00B5536D" w:rsidP="00764386">
            <w:pPr>
              <w:contextualSpacing/>
              <w:rPr>
                <w:rFonts w:ascii="Garamond" w:hAnsi="Garamond"/>
              </w:rPr>
            </w:pPr>
            <w:r>
              <w:rPr>
                <w:rFonts w:ascii="Garamond" w:hAnsi="Garamond"/>
              </w:rPr>
              <w:t>24.9%</w:t>
            </w:r>
          </w:p>
        </w:tc>
        <w:tc>
          <w:tcPr>
            <w:tcW w:w="2394" w:type="dxa"/>
          </w:tcPr>
          <w:p w:rsidR="00B5536D" w:rsidRDefault="00B5536D" w:rsidP="00764386">
            <w:pPr>
              <w:contextualSpacing/>
              <w:rPr>
                <w:rFonts w:ascii="Garamond" w:hAnsi="Garamond"/>
              </w:rPr>
            </w:pPr>
            <w:r>
              <w:rPr>
                <w:rFonts w:ascii="Garamond" w:hAnsi="Garamond"/>
              </w:rPr>
              <w:t>61.3%</w:t>
            </w:r>
          </w:p>
        </w:tc>
        <w:tc>
          <w:tcPr>
            <w:tcW w:w="2394" w:type="dxa"/>
          </w:tcPr>
          <w:p w:rsidR="00B5536D" w:rsidRDefault="00B5536D" w:rsidP="00764386">
            <w:pPr>
              <w:contextualSpacing/>
              <w:rPr>
                <w:rFonts w:ascii="Garamond" w:hAnsi="Garamond"/>
              </w:rPr>
            </w:pPr>
            <w:r>
              <w:rPr>
                <w:rFonts w:ascii="Garamond" w:hAnsi="Garamond"/>
              </w:rPr>
              <w:t>36.8%</w:t>
            </w:r>
          </w:p>
        </w:tc>
      </w:tr>
      <w:tr w:rsidR="00B5536D" w:rsidTr="001B6FFE">
        <w:tc>
          <w:tcPr>
            <w:tcW w:w="2394" w:type="dxa"/>
          </w:tcPr>
          <w:p w:rsidR="00B5536D" w:rsidRDefault="00B5536D" w:rsidP="00764386">
            <w:pPr>
              <w:contextualSpacing/>
              <w:rPr>
                <w:rFonts w:ascii="Garamond" w:hAnsi="Garamond"/>
              </w:rPr>
            </w:pPr>
            <w:r>
              <w:rPr>
                <w:rFonts w:ascii="Garamond" w:hAnsi="Garamond"/>
              </w:rPr>
              <w:t>20% to 24.9%</w:t>
            </w:r>
          </w:p>
        </w:tc>
        <w:tc>
          <w:tcPr>
            <w:tcW w:w="2394" w:type="dxa"/>
          </w:tcPr>
          <w:p w:rsidR="00B5536D" w:rsidRDefault="00B5536D" w:rsidP="00764386">
            <w:pPr>
              <w:contextualSpacing/>
              <w:rPr>
                <w:rFonts w:ascii="Garamond" w:hAnsi="Garamond"/>
              </w:rPr>
            </w:pPr>
            <w:r>
              <w:rPr>
                <w:rFonts w:ascii="Garamond" w:hAnsi="Garamond"/>
              </w:rPr>
              <w:t>24.9%</w:t>
            </w:r>
          </w:p>
        </w:tc>
        <w:tc>
          <w:tcPr>
            <w:tcW w:w="2394" w:type="dxa"/>
          </w:tcPr>
          <w:p w:rsidR="00B5536D" w:rsidRDefault="00B5536D" w:rsidP="00764386">
            <w:pPr>
              <w:contextualSpacing/>
              <w:rPr>
                <w:rFonts w:ascii="Garamond" w:hAnsi="Garamond"/>
              </w:rPr>
            </w:pPr>
            <w:r>
              <w:rPr>
                <w:rFonts w:ascii="Garamond" w:hAnsi="Garamond"/>
              </w:rPr>
              <w:t>2.5%</w:t>
            </w:r>
          </w:p>
        </w:tc>
        <w:tc>
          <w:tcPr>
            <w:tcW w:w="2394" w:type="dxa"/>
          </w:tcPr>
          <w:p w:rsidR="00B5536D" w:rsidRDefault="00B5536D" w:rsidP="00764386">
            <w:pPr>
              <w:contextualSpacing/>
              <w:rPr>
                <w:rFonts w:ascii="Garamond" w:hAnsi="Garamond"/>
              </w:rPr>
            </w:pPr>
            <w:r>
              <w:rPr>
                <w:rFonts w:ascii="Garamond" w:hAnsi="Garamond"/>
              </w:rPr>
              <w:t>13.5%</w:t>
            </w:r>
          </w:p>
        </w:tc>
      </w:tr>
      <w:tr w:rsidR="00B5536D" w:rsidTr="001B6FFE">
        <w:tc>
          <w:tcPr>
            <w:tcW w:w="2394" w:type="dxa"/>
          </w:tcPr>
          <w:p w:rsidR="00B5536D" w:rsidRDefault="00B5536D" w:rsidP="00764386">
            <w:pPr>
              <w:contextualSpacing/>
              <w:rPr>
                <w:rFonts w:ascii="Garamond" w:hAnsi="Garamond"/>
              </w:rPr>
            </w:pPr>
            <w:r>
              <w:rPr>
                <w:rFonts w:ascii="Garamond" w:hAnsi="Garamond"/>
              </w:rPr>
              <w:t>25% to 29.9%</w:t>
            </w:r>
          </w:p>
        </w:tc>
        <w:tc>
          <w:tcPr>
            <w:tcW w:w="2394" w:type="dxa"/>
          </w:tcPr>
          <w:p w:rsidR="00B5536D" w:rsidRDefault="00B5536D" w:rsidP="00764386">
            <w:pPr>
              <w:contextualSpacing/>
              <w:rPr>
                <w:rFonts w:ascii="Garamond" w:hAnsi="Garamond"/>
              </w:rPr>
            </w:pPr>
            <w:r>
              <w:rPr>
                <w:rFonts w:ascii="Garamond" w:hAnsi="Garamond"/>
              </w:rPr>
              <w:t>12.4%</w:t>
            </w:r>
          </w:p>
        </w:tc>
        <w:tc>
          <w:tcPr>
            <w:tcW w:w="2394" w:type="dxa"/>
          </w:tcPr>
          <w:p w:rsidR="00B5536D" w:rsidRDefault="00B5536D" w:rsidP="00764386">
            <w:pPr>
              <w:contextualSpacing/>
              <w:rPr>
                <w:rFonts w:ascii="Garamond" w:hAnsi="Garamond"/>
              </w:rPr>
            </w:pPr>
            <w:r>
              <w:rPr>
                <w:rFonts w:ascii="Garamond" w:hAnsi="Garamond"/>
              </w:rPr>
              <w:t>31.3%</w:t>
            </w:r>
          </w:p>
        </w:tc>
        <w:tc>
          <w:tcPr>
            <w:tcW w:w="2394" w:type="dxa"/>
          </w:tcPr>
          <w:p w:rsidR="00B5536D" w:rsidRDefault="00B5536D" w:rsidP="00764386">
            <w:pPr>
              <w:contextualSpacing/>
              <w:rPr>
                <w:rFonts w:ascii="Garamond" w:hAnsi="Garamond"/>
              </w:rPr>
            </w:pPr>
            <w:r>
              <w:rPr>
                <w:rFonts w:ascii="Garamond" w:hAnsi="Garamond"/>
              </w:rPr>
              <w:t>10.9%</w:t>
            </w:r>
          </w:p>
        </w:tc>
      </w:tr>
      <w:tr w:rsidR="00B5536D" w:rsidTr="001B6FFE">
        <w:tc>
          <w:tcPr>
            <w:tcW w:w="2394" w:type="dxa"/>
          </w:tcPr>
          <w:p w:rsidR="00B5536D" w:rsidRDefault="00B5536D" w:rsidP="00764386">
            <w:pPr>
              <w:contextualSpacing/>
              <w:rPr>
                <w:rFonts w:ascii="Garamond" w:hAnsi="Garamond"/>
              </w:rPr>
            </w:pPr>
            <w:r>
              <w:rPr>
                <w:rFonts w:ascii="Garamond" w:hAnsi="Garamond"/>
              </w:rPr>
              <w:t>30% to 34.9%</w:t>
            </w:r>
          </w:p>
        </w:tc>
        <w:tc>
          <w:tcPr>
            <w:tcW w:w="2394" w:type="dxa"/>
          </w:tcPr>
          <w:p w:rsidR="00B5536D" w:rsidRDefault="00B5536D" w:rsidP="00764386">
            <w:pPr>
              <w:contextualSpacing/>
              <w:rPr>
                <w:rFonts w:ascii="Garamond" w:hAnsi="Garamond"/>
              </w:rPr>
            </w:pPr>
            <w:r>
              <w:rPr>
                <w:rFonts w:ascii="Garamond" w:hAnsi="Garamond"/>
              </w:rPr>
              <w:t>9.1%</w:t>
            </w:r>
          </w:p>
        </w:tc>
        <w:tc>
          <w:tcPr>
            <w:tcW w:w="2394" w:type="dxa"/>
          </w:tcPr>
          <w:p w:rsidR="00B5536D" w:rsidRDefault="00B5536D" w:rsidP="00764386">
            <w:pPr>
              <w:contextualSpacing/>
              <w:rPr>
                <w:rFonts w:ascii="Garamond" w:hAnsi="Garamond"/>
              </w:rPr>
            </w:pPr>
            <w:r>
              <w:rPr>
                <w:rFonts w:ascii="Garamond" w:hAnsi="Garamond"/>
              </w:rPr>
              <w:t>0.0%</w:t>
            </w:r>
          </w:p>
        </w:tc>
        <w:tc>
          <w:tcPr>
            <w:tcW w:w="2394" w:type="dxa"/>
          </w:tcPr>
          <w:p w:rsidR="00B5536D" w:rsidRDefault="00B5536D" w:rsidP="00764386">
            <w:pPr>
              <w:contextualSpacing/>
              <w:rPr>
                <w:rFonts w:ascii="Garamond" w:hAnsi="Garamond"/>
              </w:rPr>
            </w:pPr>
            <w:r>
              <w:rPr>
                <w:rFonts w:ascii="Garamond" w:hAnsi="Garamond"/>
              </w:rPr>
              <w:t>19.9%</w:t>
            </w:r>
          </w:p>
        </w:tc>
      </w:tr>
      <w:tr w:rsidR="00B5536D" w:rsidTr="001B6FFE">
        <w:tc>
          <w:tcPr>
            <w:tcW w:w="2394" w:type="dxa"/>
          </w:tcPr>
          <w:p w:rsidR="00B5536D" w:rsidRDefault="00B5536D" w:rsidP="00764386">
            <w:pPr>
              <w:contextualSpacing/>
              <w:rPr>
                <w:rFonts w:ascii="Garamond" w:hAnsi="Garamond"/>
              </w:rPr>
            </w:pPr>
            <w:r>
              <w:rPr>
                <w:rFonts w:ascii="Garamond" w:hAnsi="Garamond"/>
              </w:rPr>
              <w:t>35% or more</w:t>
            </w:r>
          </w:p>
        </w:tc>
        <w:tc>
          <w:tcPr>
            <w:tcW w:w="2394" w:type="dxa"/>
          </w:tcPr>
          <w:p w:rsidR="00B5536D" w:rsidRDefault="00B5536D" w:rsidP="00764386">
            <w:pPr>
              <w:contextualSpacing/>
              <w:rPr>
                <w:rFonts w:ascii="Garamond" w:hAnsi="Garamond"/>
              </w:rPr>
            </w:pPr>
            <w:r>
              <w:rPr>
                <w:rFonts w:ascii="Garamond" w:hAnsi="Garamond"/>
              </w:rPr>
              <w:t>28.7%</w:t>
            </w:r>
          </w:p>
        </w:tc>
        <w:tc>
          <w:tcPr>
            <w:tcW w:w="2394" w:type="dxa"/>
          </w:tcPr>
          <w:p w:rsidR="00B5536D" w:rsidRDefault="00B5536D" w:rsidP="00764386">
            <w:pPr>
              <w:contextualSpacing/>
              <w:rPr>
                <w:rFonts w:ascii="Garamond" w:hAnsi="Garamond"/>
              </w:rPr>
            </w:pPr>
            <w:r>
              <w:rPr>
                <w:rFonts w:ascii="Garamond" w:hAnsi="Garamond"/>
              </w:rPr>
              <w:t>5.0%</w:t>
            </w:r>
          </w:p>
        </w:tc>
        <w:tc>
          <w:tcPr>
            <w:tcW w:w="2394" w:type="dxa"/>
          </w:tcPr>
          <w:p w:rsidR="00B5536D" w:rsidRDefault="00B5536D" w:rsidP="00EE571F">
            <w:pPr>
              <w:keepNext/>
              <w:contextualSpacing/>
              <w:rPr>
                <w:rFonts w:ascii="Garamond" w:hAnsi="Garamond"/>
              </w:rPr>
            </w:pPr>
            <w:r>
              <w:rPr>
                <w:rFonts w:ascii="Garamond" w:hAnsi="Garamond"/>
              </w:rPr>
              <w:t>18.8%</w:t>
            </w:r>
          </w:p>
        </w:tc>
      </w:tr>
    </w:tbl>
    <w:p w:rsidR="00B85456" w:rsidRDefault="00EE571F" w:rsidP="00EE571F">
      <w:pPr>
        <w:pStyle w:val="Caption"/>
        <w:rPr>
          <w:b w:val="0"/>
          <w:color w:val="4E5612"/>
          <w:sz w:val="25"/>
        </w:rPr>
      </w:pPr>
      <w:r>
        <w:t xml:space="preserve">Figure </w:t>
      </w:r>
      <w:fldSimple w:instr=" SEQ Figure \* ARABIC ">
        <w:r w:rsidR="00707511">
          <w:rPr>
            <w:noProof/>
          </w:rPr>
          <w:t>46</w:t>
        </w:r>
      </w:fldSimple>
    </w:p>
    <w:p w:rsidR="00B5536D" w:rsidRPr="00B864AC" w:rsidRDefault="00B5536D" w:rsidP="00764386">
      <w:pPr>
        <w:spacing w:line="240" w:lineRule="auto"/>
        <w:contextualSpacing/>
        <w:rPr>
          <w:b/>
          <w:color w:val="4E5612"/>
          <w:sz w:val="25"/>
        </w:rPr>
      </w:pPr>
      <w:r w:rsidRPr="00B864AC">
        <w:rPr>
          <w:b/>
          <w:color w:val="4E5612"/>
          <w:sz w:val="25"/>
        </w:rPr>
        <w:t>Number of Homes and Rentals</w:t>
      </w:r>
      <w:r w:rsidRPr="00B864AC">
        <w:rPr>
          <w:b/>
          <w:color w:val="4E5612"/>
          <w:sz w:val="25"/>
        </w:rPr>
        <w:tab/>
      </w:r>
    </w:p>
    <w:p w:rsidR="00B5536D" w:rsidRPr="007D07CA" w:rsidRDefault="00B5536D" w:rsidP="00764386">
      <w:pPr>
        <w:spacing w:line="240" w:lineRule="auto"/>
        <w:contextualSpacing/>
        <w:rPr>
          <w:vertAlign w:val="superscript"/>
        </w:rPr>
      </w:pPr>
      <w:r w:rsidRPr="00774C11">
        <w:t xml:space="preserve">The </w:t>
      </w:r>
      <w:r>
        <w:t xml:space="preserve">total number of housing units in </w:t>
      </w:r>
      <w:proofErr w:type="spellStart"/>
      <w:r>
        <w:t>Driggs</w:t>
      </w:r>
      <w:proofErr w:type="spellEnd"/>
      <w:r>
        <w:t xml:space="preserve"> is</w:t>
      </w:r>
      <w:r w:rsidRPr="00774C11">
        <w:t xml:space="preserve"> 1</w:t>
      </w:r>
      <w:r>
        <w:t>,</w:t>
      </w:r>
      <w:r w:rsidRPr="00774C11">
        <w:t xml:space="preserve">021. </w:t>
      </w:r>
      <w:r>
        <w:t xml:space="preserve">The number of occupied units is </w:t>
      </w:r>
      <w:r w:rsidRPr="00774C11">
        <w:t>884 (87%)</w:t>
      </w:r>
      <w:r>
        <w:t>. There is</w:t>
      </w:r>
      <w:r w:rsidRPr="00774C11">
        <w:t xml:space="preserve"> an estimated 173 (13%) vacant housing units.</w:t>
      </w:r>
      <w:r w:rsidRPr="00774C11">
        <w:rPr>
          <w:vertAlign w:val="superscript"/>
        </w:rPr>
        <w:t>5</w:t>
      </w:r>
      <w:r>
        <w:rPr>
          <w:vertAlign w:val="superscript"/>
        </w:rPr>
        <w:t xml:space="preserve"> </w:t>
      </w:r>
      <w:r>
        <w:t xml:space="preserve"> </w:t>
      </w:r>
      <w:r w:rsidRPr="00774C11">
        <w:t>The number of real est</w:t>
      </w:r>
      <w:r>
        <w:t xml:space="preserve">ate listings in </w:t>
      </w:r>
      <w:proofErr w:type="spellStart"/>
      <w:r>
        <w:t>Driggs</w:t>
      </w:r>
      <w:proofErr w:type="spellEnd"/>
      <w:r w:rsidRPr="00774C11">
        <w:t>, Idaho including units for rent and for sale only is 222 units.</w:t>
      </w:r>
      <w:r w:rsidRPr="00774C11">
        <w:rPr>
          <w:rStyle w:val="FootnoteReference"/>
        </w:rPr>
        <w:footnoteReference w:id="68"/>
      </w:r>
      <w:r w:rsidRPr="00774C11">
        <w:t xml:space="preserve"> The </w:t>
      </w:r>
      <w:r>
        <w:t xml:space="preserve">current </w:t>
      </w:r>
      <w:r w:rsidRPr="00774C11">
        <w:t xml:space="preserve">average sales price in </w:t>
      </w:r>
      <w:proofErr w:type="spellStart"/>
      <w:r w:rsidRPr="00774C11">
        <w:t>Driggs</w:t>
      </w:r>
      <w:proofErr w:type="spellEnd"/>
      <w:r w:rsidRPr="00774C11">
        <w:t>, Idaho is $245,908.</w:t>
      </w:r>
      <w:r w:rsidRPr="00774C11">
        <w:rPr>
          <w:rStyle w:val="FootnoteReference"/>
        </w:rPr>
        <w:footnoteReference w:id="69"/>
      </w:r>
    </w:p>
    <w:p w:rsidR="007203B8" w:rsidRDefault="007203B8" w:rsidP="00A77B10">
      <w:pPr>
        <w:pStyle w:val="Heading2"/>
        <w:spacing w:line="240" w:lineRule="auto"/>
        <w:contextualSpacing/>
        <w:rPr>
          <w:rFonts w:eastAsiaTheme="minorHAnsi" w:cstheme="minorBidi"/>
          <w:b w:val="0"/>
          <w:bCs w:val="0"/>
          <w:color w:val="auto"/>
          <w:sz w:val="24"/>
          <w:szCs w:val="24"/>
        </w:rPr>
      </w:pPr>
    </w:p>
    <w:p w:rsidR="00AA2CEB" w:rsidRDefault="00AA2CEB">
      <w:pPr>
        <w:rPr>
          <w:rFonts w:eastAsiaTheme="majorEastAsia" w:cstheme="majorBidi"/>
          <w:b/>
          <w:bCs/>
          <w:color w:val="4E5612"/>
          <w:sz w:val="26"/>
          <w:szCs w:val="26"/>
        </w:rPr>
      </w:pPr>
      <w:r>
        <w:rPr>
          <w:color w:val="4E5612"/>
        </w:rPr>
        <w:br w:type="page"/>
      </w:r>
    </w:p>
    <w:p w:rsidR="00A77B10" w:rsidRDefault="00B5536D" w:rsidP="00A77B10">
      <w:pPr>
        <w:pStyle w:val="Heading2"/>
        <w:spacing w:line="240" w:lineRule="auto"/>
        <w:contextualSpacing/>
        <w:rPr>
          <w:color w:val="4E5612"/>
        </w:rPr>
      </w:pPr>
      <w:bookmarkStart w:id="16" w:name="_Toc329954141"/>
      <w:r w:rsidRPr="00B85456">
        <w:rPr>
          <w:color w:val="4E5612"/>
        </w:rPr>
        <w:lastRenderedPageBreak/>
        <w:t>Victor, Idaho</w:t>
      </w:r>
      <w:bookmarkEnd w:id="16"/>
    </w:p>
    <w:p w:rsidR="00B5536D" w:rsidRPr="00A77B10" w:rsidRDefault="00B5536D" w:rsidP="00A77B10">
      <w:pPr>
        <w:spacing w:line="240" w:lineRule="auto"/>
        <w:contextualSpacing/>
      </w:pPr>
    </w:p>
    <w:p w:rsidR="00B5536D" w:rsidRPr="00B864AC" w:rsidRDefault="00B5536D" w:rsidP="00A77B10">
      <w:pPr>
        <w:spacing w:line="240" w:lineRule="auto"/>
        <w:contextualSpacing/>
        <w:rPr>
          <w:b/>
          <w:color w:val="4E5612"/>
          <w:sz w:val="25"/>
        </w:rPr>
      </w:pPr>
      <w:r w:rsidRPr="00B864AC">
        <w:rPr>
          <w:b/>
          <w:color w:val="4E5612"/>
          <w:sz w:val="25"/>
        </w:rPr>
        <w:t>Population</w:t>
      </w:r>
    </w:p>
    <w:p w:rsidR="00B5536D" w:rsidRPr="007B0F7C" w:rsidRDefault="00B5536D" w:rsidP="00764386">
      <w:pPr>
        <w:spacing w:line="240" w:lineRule="auto"/>
        <w:contextualSpacing/>
      </w:pPr>
      <w:r w:rsidRPr="007B0F7C">
        <w:t xml:space="preserve">According to the 2010 United Census report, Victor, Idaho had a population of 1,928. </w:t>
      </w:r>
    </w:p>
    <w:p w:rsidR="00B85456" w:rsidRDefault="00B85456"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t>Age</w:t>
      </w:r>
    </w:p>
    <w:p w:rsidR="00B5536D" w:rsidRPr="007B0F7C" w:rsidRDefault="00B5536D" w:rsidP="00764386">
      <w:pPr>
        <w:spacing w:line="240" w:lineRule="auto"/>
        <w:contextualSpacing/>
      </w:pPr>
      <w:r w:rsidRPr="007B0F7C">
        <w:t>Victor had a median age of 30.6 years.</w:t>
      </w:r>
      <w:r w:rsidRPr="007B0F7C">
        <w:rPr>
          <w:rStyle w:val="FootnoteReference"/>
        </w:rPr>
        <w:footnoteReference w:id="70"/>
      </w:r>
      <w:r w:rsidRPr="007B0F7C">
        <w:t xml:space="preserve"> </w:t>
      </w:r>
      <w:r>
        <w:t xml:space="preserve">The majority of the population appears to be young families with the majority of the population being either under 9 or between 30 and 39. </w:t>
      </w:r>
    </w:p>
    <w:p w:rsidR="00B5536D" w:rsidRPr="007B0F7C" w:rsidRDefault="00B5536D" w:rsidP="00764386">
      <w:pPr>
        <w:spacing w:line="240" w:lineRule="auto"/>
        <w:contextualSpacing/>
      </w:pPr>
    </w:p>
    <w:tbl>
      <w:tblPr>
        <w:tblW w:w="2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060"/>
      </w:tblGrid>
      <w:tr w:rsidR="00B5536D" w:rsidRPr="007B0F7C" w:rsidTr="001B6FFE">
        <w:trPr>
          <w:trHeight w:val="240"/>
          <w:jc w:val="center"/>
        </w:trPr>
        <w:tc>
          <w:tcPr>
            <w:tcW w:w="2120" w:type="dxa"/>
            <w:gridSpan w:val="2"/>
            <w:shd w:val="clear" w:color="auto" w:fill="auto"/>
            <w:noWrap/>
            <w:vAlign w:val="bottom"/>
          </w:tcPr>
          <w:p w:rsidR="00B5536D" w:rsidRPr="007B0F7C" w:rsidRDefault="00B5536D" w:rsidP="00764386">
            <w:pPr>
              <w:spacing w:line="240" w:lineRule="auto"/>
              <w:contextualSpacing/>
              <w:jc w:val="center"/>
              <w:rPr>
                <w:sz w:val="20"/>
                <w:szCs w:val="20"/>
              </w:rPr>
            </w:pPr>
            <w:r w:rsidRPr="007B0F7C">
              <w:rPr>
                <w:sz w:val="20"/>
                <w:szCs w:val="20"/>
              </w:rPr>
              <w:t>Victor, Idaho</w:t>
            </w:r>
          </w:p>
        </w:tc>
      </w:tr>
      <w:tr w:rsidR="00B5536D" w:rsidRPr="007B0F7C" w:rsidTr="001B6FFE">
        <w:trPr>
          <w:trHeight w:val="240"/>
          <w:jc w:val="center"/>
        </w:trPr>
        <w:tc>
          <w:tcPr>
            <w:tcW w:w="1060" w:type="dxa"/>
            <w:shd w:val="clear" w:color="auto" w:fill="auto"/>
            <w:noWrap/>
            <w:vAlign w:val="bottom"/>
          </w:tcPr>
          <w:p w:rsidR="00B5536D" w:rsidRPr="007B0F7C" w:rsidRDefault="00B5536D" w:rsidP="00764386">
            <w:pPr>
              <w:spacing w:line="240" w:lineRule="auto"/>
              <w:contextualSpacing/>
              <w:rPr>
                <w:sz w:val="20"/>
                <w:szCs w:val="20"/>
              </w:rPr>
            </w:pPr>
            <w:r w:rsidRPr="007B0F7C">
              <w:rPr>
                <w:sz w:val="20"/>
                <w:szCs w:val="20"/>
              </w:rPr>
              <w:t>Age</w:t>
            </w:r>
          </w:p>
        </w:tc>
        <w:tc>
          <w:tcPr>
            <w:tcW w:w="1060" w:type="dxa"/>
            <w:shd w:val="clear" w:color="auto" w:fill="auto"/>
            <w:noWrap/>
            <w:vAlign w:val="bottom"/>
          </w:tcPr>
          <w:p w:rsidR="00B5536D" w:rsidRPr="007B0F7C" w:rsidRDefault="00B5536D" w:rsidP="00764386">
            <w:pPr>
              <w:spacing w:line="240" w:lineRule="auto"/>
              <w:contextualSpacing/>
              <w:rPr>
                <w:sz w:val="20"/>
                <w:szCs w:val="20"/>
              </w:rPr>
            </w:pPr>
            <w:r w:rsidRPr="007B0F7C">
              <w:rPr>
                <w:sz w:val="20"/>
                <w:szCs w:val="20"/>
              </w:rPr>
              <w:t>Number</w:t>
            </w:r>
          </w:p>
        </w:tc>
      </w:tr>
      <w:tr w:rsidR="00B5536D" w:rsidRPr="007B0F7C" w:rsidTr="001B6FFE">
        <w:trPr>
          <w:trHeight w:val="240"/>
          <w:jc w:val="center"/>
        </w:trPr>
        <w:tc>
          <w:tcPr>
            <w:tcW w:w="1060" w:type="dxa"/>
            <w:shd w:val="clear" w:color="auto" w:fill="auto"/>
            <w:noWrap/>
            <w:vAlign w:val="bottom"/>
          </w:tcPr>
          <w:p w:rsidR="00B5536D" w:rsidRPr="007B0F7C" w:rsidRDefault="00B5536D" w:rsidP="00764386">
            <w:pPr>
              <w:spacing w:line="240" w:lineRule="auto"/>
              <w:contextualSpacing/>
              <w:rPr>
                <w:sz w:val="20"/>
                <w:szCs w:val="20"/>
              </w:rPr>
            </w:pPr>
            <w:r w:rsidRPr="007B0F7C">
              <w:rPr>
                <w:sz w:val="20"/>
                <w:szCs w:val="20"/>
              </w:rPr>
              <w:t>Under 9</w:t>
            </w:r>
          </w:p>
        </w:tc>
        <w:tc>
          <w:tcPr>
            <w:tcW w:w="1060" w:type="dxa"/>
            <w:shd w:val="clear" w:color="auto" w:fill="auto"/>
            <w:noWrap/>
            <w:vAlign w:val="bottom"/>
          </w:tcPr>
          <w:p w:rsidR="00B5536D" w:rsidRPr="007B0F7C" w:rsidRDefault="00B5536D" w:rsidP="00764386">
            <w:pPr>
              <w:spacing w:line="240" w:lineRule="auto"/>
              <w:contextualSpacing/>
              <w:jc w:val="right"/>
              <w:rPr>
                <w:sz w:val="20"/>
                <w:szCs w:val="20"/>
              </w:rPr>
            </w:pPr>
            <w:r w:rsidRPr="007B0F7C">
              <w:rPr>
                <w:sz w:val="20"/>
                <w:szCs w:val="20"/>
              </w:rPr>
              <w:t>429</w:t>
            </w:r>
          </w:p>
        </w:tc>
      </w:tr>
      <w:tr w:rsidR="00B5536D" w:rsidRPr="007B0F7C" w:rsidTr="001B6FFE">
        <w:trPr>
          <w:trHeight w:val="240"/>
          <w:jc w:val="center"/>
        </w:trPr>
        <w:tc>
          <w:tcPr>
            <w:tcW w:w="1060" w:type="dxa"/>
            <w:shd w:val="clear" w:color="auto" w:fill="auto"/>
            <w:noWrap/>
            <w:vAlign w:val="bottom"/>
          </w:tcPr>
          <w:p w:rsidR="00B5536D" w:rsidRPr="007B0F7C" w:rsidRDefault="00B5536D" w:rsidP="00764386">
            <w:pPr>
              <w:spacing w:line="240" w:lineRule="auto"/>
              <w:contextualSpacing/>
              <w:rPr>
                <w:sz w:val="20"/>
                <w:szCs w:val="20"/>
              </w:rPr>
            </w:pPr>
            <w:r w:rsidRPr="007B0F7C">
              <w:rPr>
                <w:sz w:val="20"/>
                <w:szCs w:val="20"/>
              </w:rPr>
              <w:t>10-19</w:t>
            </w:r>
          </w:p>
        </w:tc>
        <w:tc>
          <w:tcPr>
            <w:tcW w:w="1060" w:type="dxa"/>
            <w:shd w:val="clear" w:color="auto" w:fill="auto"/>
            <w:noWrap/>
            <w:vAlign w:val="bottom"/>
          </w:tcPr>
          <w:p w:rsidR="00B5536D" w:rsidRPr="007B0F7C" w:rsidRDefault="00B5536D" w:rsidP="00764386">
            <w:pPr>
              <w:spacing w:line="240" w:lineRule="auto"/>
              <w:contextualSpacing/>
              <w:jc w:val="right"/>
              <w:rPr>
                <w:sz w:val="20"/>
                <w:szCs w:val="20"/>
              </w:rPr>
            </w:pPr>
            <w:r w:rsidRPr="007B0F7C">
              <w:rPr>
                <w:sz w:val="20"/>
                <w:szCs w:val="20"/>
              </w:rPr>
              <w:t>79</w:t>
            </w:r>
          </w:p>
        </w:tc>
      </w:tr>
      <w:tr w:rsidR="00B5536D" w:rsidRPr="007B0F7C" w:rsidTr="001B6FFE">
        <w:trPr>
          <w:trHeight w:val="240"/>
          <w:jc w:val="center"/>
        </w:trPr>
        <w:tc>
          <w:tcPr>
            <w:tcW w:w="1060" w:type="dxa"/>
            <w:shd w:val="clear" w:color="auto" w:fill="auto"/>
            <w:noWrap/>
            <w:vAlign w:val="bottom"/>
          </w:tcPr>
          <w:p w:rsidR="00B5536D" w:rsidRPr="007B0F7C" w:rsidRDefault="00B5536D" w:rsidP="00764386">
            <w:pPr>
              <w:spacing w:line="240" w:lineRule="auto"/>
              <w:contextualSpacing/>
              <w:rPr>
                <w:sz w:val="20"/>
                <w:szCs w:val="20"/>
              </w:rPr>
            </w:pPr>
            <w:r w:rsidRPr="007B0F7C">
              <w:rPr>
                <w:sz w:val="20"/>
                <w:szCs w:val="20"/>
              </w:rPr>
              <w:t>20-29</w:t>
            </w:r>
          </w:p>
        </w:tc>
        <w:tc>
          <w:tcPr>
            <w:tcW w:w="1060" w:type="dxa"/>
            <w:shd w:val="clear" w:color="auto" w:fill="auto"/>
            <w:noWrap/>
            <w:vAlign w:val="bottom"/>
          </w:tcPr>
          <w:p w:rsidR="00B5536D" w:rsidRPr="007B0F7C" w:rsidRDefault="00B5536D" w:rsidP="00764386">
            <w:pPr>
              <w:spacing w:line="240" w:lineRule="auto"/>
              <w:contextualSpacing/>
              <w:jc w:val="right"/>
              <w:rPr>
                <w:sz w:val="20"/>
                <w:szCs w:val="20"/>
              </w:rPr>
            </w:pPr>
            <w:r w:rsidRPr="007B0F7C">
              <w:rPr>
                <w:sz w:val="20"/>
                <w:szCs w:val="20"/>
              </w:rPr>
              <w:t>189</w:t>
            </w:r>
          </w:p>
        </w:tc>
      </w:tr>
      <w:tr w:rsidR="00B5536D" w:rsidRPr="007B0F7C" w:rsidTr="001B6FFE">
        <w:trPr>
          <w:trHeight w:val="240"/>
          <w:jc w:val="center"/>
        </w:trPr>
        <w:tc>
          <w:tcPr>
            <w:tcW w:w="1060" w:type="dxa"/>
            <w:shd w:val="clear" w:color="auto" w:fill="auto"/>
            <w:noWrap/>
            <w:vAlign w:val="bottom"/>
          </w:tcPr>
          <w:p w:rsidR="00B5536D" w:rsidRPr="007B0F7C" w:rsidRDefault="00B5536D" w:rsidP="00764386">
            <w:pPr>
              <w:spacing w:line="240" w:lineRule="auto"/>
              <w:contextualSpacing/>
              <w:rPr>
                <w:sz w:val="20"/>
                <w:szCs w:val="20"/>
              </w:rPr>
            </w:pPr>
            <w:r w:rsidRPr="007B0F7C">
              <w:rPr>
                <w:sz w:val="20"/>
                <w:szCs w:val="20"/>
              </w:rPr>
              <w:t>30-39</w:t>
            </w:r>
          </w:p>
        </w:tc>
        <w:tc>
          <w:tcPr>
            <w:tcW w:w="1060" w:type="dxa"/>
            <w:shd w:val="clear" w:color="auto" w:fill="auto"/>
            <w:noWrap/>
            <w:vAlign w:val="bottom"/>
          </w:tcPr>
          <w:p w:rsidR="00B5536D" w:rsidRPr="007B0F7C" w:rsidRDefault="00B5536D" w:rsidP="00764386">
            <w:pPr>
              <w:spacing w:line="240" w:lineRule="auto"/>
              <w:contextualSpacing/>
              <w:jc w:val="right"/>
              <w:rPr>
                <w:sz w:val="20"/>
                <w:szCs w:val="20"/>
              </w:rPr>
            </w:pPr>
            <w:r w:rsidRPr="007B0F7C">
              <w:rPr>
                <w:sz w:val="20"/>
                <w:szCs w:val="20"/>
              </w:rPr>
              <w:t>493</w:t>
            </w:r>
          </w:p>
        </w:tc>
      </w:tr>
      <w:tr w:rsidR="00B5536D" w:rsidRPr="007B0F7C" w:rsidTr="001B6FFE">
        <w:trPr>
          <w:trHeight w:val="240"/>
          <w:jc w:val="center"/>
        </w:trPr>
        <w:tc>
          <w:tcPr>
            <w:tcW w:w="1060" w:type="dxa"/>
            <w:shd w:val="clear" w:color="auto" w:fill="auto"/>
            <w:noWrap/>
            <w:vAlign w:val="bottom"/>
          </w:tcPr>
          <w:p w:rsidR="00B5536D" w:rsidRPr="007B0F7C" w:rsidRDefault="00B5536D" w:rsidP="00764386">
            <w:pPr>
              <w:spacing w:line="240" w:lineRule="auto"/>
              <w:contextualSpacing/>
              <w:rPr>
                <w:sz w:val="20"/>
                <w:szCs w:val="20"/>
              </w:rPr>
            </w:pPr>
            <w:r w:rsidRPr="007B0F7C">
              <w:rPr>
                <w:sz w:val="20"/>
                <w:szCs w:val="20"/>
              </w:rPr>
              <w:t>40-49</w:t>
            </w:r>
          </w:p>
        </w:tc>
        <w:tc>
          <w:tcPr>
            <w:tcW w:w="1060" w:type="dxa"/>
            <w:shd w:val="clear" w:color="auto" w:fill="auto"/>
            <w:noWrap/>
            <w:vAlign w:val="bottom"/>
          </w:tcPr>
          <w:p w:rsidR="00B5536D" w:rsidRPr="007B0F7C" w:rsidRDefault="00B5536D" w:rsidP="00764386">
            <w:pPr>
              <w:spacing w:line="240" w:lineRule="auto"/>
              <w:contextualSpacing/>
              <w:jc w:val="right"/>
              <w:rPr>
                <w:sz w:val="20"/>
                <w:szCs w:val="20"/>
              </w:rPr>
            </w:pPr>
            <w:r w:rsidRPr="007B0F7C">
              <w:rPr>
                <w:sz w:val="20"/>
                <w:szCs w:val="20"/>
              </w:rPr>
              <w:t>244</w:t>
            </w:r>
          </w:p>
        </w:tc>
      </w:tr>
      <w:tr w:rsidR="00B5536D" w:rsidRPr="007B0F7C" w:rsidTr="001B6FFE">
        <w:trPr>
          <w:trHeight w:val="240"/>
          <w:jc w:val="center"/>
        </w:trPr>
        <w:tc>
          <w:tcPr>
            <w:tcW w:w="1060" w:type="dxa"/>
            <w:shd w:val="clear" w:color="auto" w:fill="auto"/>
            <w:noWrap/>
            <w:vAlign w:val="bottom"/>
          </w:tcPr>
          <w:p w:rsidR="00B5536D" w:rsidRPr="007B0F7C" w:rsidRDefault="00B5536D" w:rsidP="00764386">
            <w:pPr>
              <w:spacing w:line="240" w:lineRule="auto"/>
              <w:contextualSpacing/>
              <w:rPr>
                <w:sz w:val="20"/>
                <w:szCs w:val="20"/>
              </w:rPr>
            </w:pPr>
            <w:r w:rsidRPr="007B0F7C">
              <w:rPr>
                <w:sz w:val="20"/>
                <w:szCs w:val="20"/>
              </w:rPr>
              <w:t>50-59</w:t>
            </w:r>
          </w:p>
        </w:tc>
        <w:tc>
          <w:tcPr>
            <w:tcW w:w="1060" w:type="dxa"/>
            <w:shd w:val="clear" w:color="auto" w:fill="auto"/>
            <w:noWrap/>
            <w:vAlign w:val="bottom"/>
          </w:tcPr>
          <w:p w:rsidR="00B5536D" w:rsidRPr="007B0F7C" w:rsidRDefault="00B5536D" w:rsidP="00764386">
            <w:pPr>
              <w:spacing w:line="240" w:lineRule="auto"/>
              <w:contextualSpacing/>
              <w:jc w:val="right"/>
              <w:rPr>
                <w:sz w:val="20"/>
                <w:szCs w:val="20"/>
              </w:rPr>
            </w:pPr>
            <w:r w:rsidRPr="007B0F7C">
              <w:rPr>
                <w:sz w:val="20"/>
                <w:szCs w:val="20"/>
              </w:rPr>
              <w:t>151</w:t>
            </w:r>
          </w:p>
        </w:tc>
      </w:tr>
      <w:tr w:rsidR="00B5536D" w:rsidRPr="007B0F7C" w:rsidTr="001B6FFE">
        <w:trPr>
          <w:trHeight w:val="240"/>
          <w:jc w:val="center"/>
        </w:trPr>
        <w:tc>
          <w:tcPr>
            <w:tcW w:w="1060" w:type="dxa"/>
            <w:shd w:val="clear" w:color="auto" w:fill="auto"/>
            <w:noWrap/>
            <w:vAlign w:val="bottom"/>
          </w:tcPr>
          <w:p w:rsidR="00B5536D" w:rsidRPr="007B0F7C" w:rsidRDefault="00B5536D" w:rsidP="00764386">
            <w:pPr>
              <w:spacing w:line="240" w:lineRule="auto"/>
              <w:contextualSpacing/>
              <w:rPr>
                <w:sz w:val="20"/>
                <w:szCs w:val="20"/>
              </w:rPr>
            </w:pPr>
            <w:r w:rsidRPr="007B0F7C">
              <w:rPr>
                <w:sz w:val="20"/>
                <w:szCs w:val="20"/>
              </w:rPr>
              <w:t>60-69</w:t>
            </w:r>
          </w:p>
        </w:tc>
        <w:tc>
          <w:tcPr>
            <w:tcW w:w="1060" w:type="dxa"/>
            <w:shd w:val="clear" w:color="auto" w:fill="auto"/>
            <w:noWrap/>
            <w:vAlign w:val="bottom"/>
          </w:tcPr>
          <w:p w:rsidR="00B5536D" w:rsidRPr="007B0F7C" w:rsidRDefault="00B5536D" w:rsidP="00764386">
            <w:pPr>
              <w:spacing w:line="240" w:lineRule="auto"/>
              <w:contextualSpacing/>
              <w:jc w:val="right"/>
              <w:rPr>
                <w:sz w:val="20"/>
                <w:szCs w:val="20"/>
              </w:rPr>
            </w:pPr>
            <w:r w:rsidRPr="007B0F7C">
              <w:rPr>
                <w:sz w:val="20"/>
                <w:szCs w:val="20"/>
              </w:rPr>
              <w:t>67</w:t>
            </w:r>
          </w:p>
        </w:tc>
      </w:tr>
      <w:tr w:rsidR="00B5536D" w:rsidRPr="007B0F7C" w:rsidTr="001B6FFE">
        <w:trPr>
          <w:trHeight w:val="240"/>
          <w:jc w:val="center"/>
        </w:trPr>
        <w:tc>
          <w:tcPr>
            <w:tcW w:w="1060" w:type="dxa"/>
            <w:shd w:val="clear" w:color="auto" w:fill="auto"/>
            <w:noWrap/>
            <w:vAlign w:val="bottom"/>
          </w:tcPr>
          <w:p w:rsidR="00B5536D" w:rsidRPr="007B0F7C" w:rsidRDefault="00B5536D" w:rsidP="00764386">
            <w:pPr>
              <w:spacing w:line="240" w:lineRule="auto"/>
              <w:contextualSpacing/>
              <w:rPr>
                <w:sz w:val="20"/>
                <w:szCs w:val="20"/>
              </w:rPr>
            </w:pPr>
            <w:r w:rsidRPr="007B0F7C">
              <w:rPr>
                <w:sz w:val="20"/>
                <w:szCs w:val="20"/>
              </w:rPr>
              <w:t>70-74</w:t>
            </w:r>
          </w:p>
        </w:tc>
        <w:tc>
          <w:tcPr>
            <w:tcW w:w="1060" w:type="dxa"/>
            <w:shd w:val="clear" w:color="auto" w:fill="auto"/>
            <w:noWrap/>
            <w:vAlign w:val="bottom"/>
          </w:tcPr>
          <w:p w:rsidR="00B5536D" w:rsidRPr="007B0F7C" w:rsidRDefault="00B5536D" w:rsidP="00764386">
            <w:pPr>
              <w:spacing w:line="240" w:lineRule="auto"/>
              <w:contextualSpacing/>
              <w:jc w:val="right"/>
              <w:rPr>
                <w:sz w:val="20"/>
                <w:szCs w:val="20"/>
              </w:rPr>
            </w:pPr>
            <w:r w:rsidRPr="007B0F7C">
              <w:rPr>
                <w:sz w:val="20"/>
                <w:szCs w:val="20"/>
              </w:rPr>
              <w:t>17</w:t>
            </w:r>
          </w:p>
        </w:tc>
      </w:tr>
      <w:tr w:rsidR="00B5536D" w:rsidRPr="007B0F7C" w:rsidTr="001B6FFE">
        <w:trPr>
          <w:trHeight w:val="240"/>
          <w:jc w:val="center"/>
        </w:trPr>
        <w:tc>
          <w:tcPr>
            <w:tcW w:w="1060" w:type="dxa"/>
            <w:shd w:val="clear" w:color="auto" w:fill="auto"/>
            <w:noWrap/>
            <w:vAlign w:val="bottom"/>
          </w:tcPr>
          <w:p w:rsidR="00B5536D" w:rsidRPr="007B0F7C" w:rsidRDefault="00B5536D" w:rsidP="00764386">
            <w:pPr>
              <w:spacing w:line="240" w:lineRule="auto"/>
              <w:contextualSpacing/>
              <w:rPr>
                <w:sz w:val="20"/>
                <w:szCs w:val="20"/>
              </w:rPr>
            </w:pPr>
            <w:r w:rsidRPr="007B0F7C">
              <w:rPr>
                <w:sz w:val="20"/>
                <w:szCs w:val="20"/>
              </w:rPr>
              <w:t>Over 75</w:t>
            </w:r>
          </w:p>
        </w:tc>
        <w:tc>
          <w:tcPr>
            <w:tcW w:w="1060" w:type="dxa"/>
            <w:shd w:val="clear" w:color="auto" w:fill="auto"/>
            <w:noWrap/>
            <w:vAlign w:val="bottom"/>
          </w:tcPr>
          <w:p w:rsidR="00B5536D" w:rsidRPr="007B0F7C" w:rsidRDefault="00B5536D" w:rsidP="00EE571F">
            <w:pPr>
              <w:keepNext/>
              <w:spacing w:line="240" w:lineRule="auto"/>
              <w:contextualSpacing/>
              <w:jc w:val="right"/>
              <w:rPr>
                <w:sz w:val="20"/>
                <w:szCs w:val="20"/>
              </w:rPr>
            </w:pPr>
            <w:r w:rsidRPr="007B0F7C">
              <w:rPr>
                <w:sz w:val="20"/>
                <w:szCs w:val="20"/>
              </w:rPr>
              <w:t>28</w:t>
            </w:r>
          </w:p>
        </w:tc>
      </w:tr>
    </w:tbl>
    <w:p w:rsidR="00B5536D" w:rsidRPr="007B0F7C" w:rsidRDefault="00EE571F" w:rsidP="00EE571F">
      <w:pPr>
        <w:pStyle w:val="Caption"/>
      </w:pPr>
      <w:r>
        <w:tab/>
      </w:r>
      <w:r>
        <w:tab/>
      </w:r>
      <w:r>
        <w:tab/>
      </w:r>
      <w:r>
        <w:tab/>
      </w:r>
      <w:r>
        <w:tab/>
        <w:t xml:space="preserve">Figure </w:t>
      </w:r>
      <w:fldSimple w:instr=" SEQ Figure \* ARABIC ">
        <w:r w:rsidR="00707511">
          <w:rPr>
            <w:noProof/>
          </w:rPr>
          <w:t>47</w:t>
        </w:r>
      </w:fldSimple>
    </w:p>
    <w:p w:rsidR="00B5536D" w:rsidRPr="00B864AC" w:rsidRDefault="00B5536D" w:rsidP="00764386">
      <w:pPr>
        <w:spacing w:line="240" w:lineRule="auto"/>
        <w:contextualSpacing/>
        <w:rPr>
          <w:b/>
          <w:color w:val="4E5612"/>
          <w:sz w:val="25"/>
        </w:rPr>
      </w:pPr>
      <w:r w:rsidRPr="00B864AC">
        <w:rPr>
          <w:b/>
          <w:color w:val="4E5612"/>
          <w:sz w:val="25"/>
        </w:rPr>
        <w:t xml:space="preserve">Employment </w:t>
      </w:r>
    </w:p>
    <w:p w:rsidR="00B5536D" w:rsidRPr="007B0F7C" w:rsidRDefault="00B5536D" w:rsidP="00764386">
      <w:pPr>
        <w:spacing w:line="240" w:lineRule="auto"/>
        <w:contextualSpacing/>
      </w:pPr>
      <w:r w:rsidRPr="007B0F7C">
        <w:t xml:space="preserve">Of the 1,928 people residing in Victor 1,484 are over 16 years of age. The labor force of Victor is 1,301. Of that number, 1,238 are employed with 63 unemployed. The </w:t>
      </w:r>
      <w:r>
        <w:t>average commute time is</w:t>
      </w:r>
      <w:r w:rsidRPr="007B0F7C">
        <w:t xml:space="preserve"> 29.2 minutes.</w:t>
      </w:r>
      <w:r w:rsidRPr="007B0F7C">
        <w:rPr>
          <w:rStyle w:val="FootnoteReference"/>
        </w:rPr>
        <w:t xml:space="preserve"> </w:t>
      </w:r>
      <w:r w:rsidRPr="007B0F7C">
        <w:rPr>
          <w:rStyle w:val="FootnoteReference"/>
        </w:rPr>
        <w:footnoteReference w:id="71"/>
      </w:r>
    </w:p>
    <w:p w:rsidR="00B85456" w:rsidRDefault="00B85456"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t>Income</w:t>
      </w:r>
    </w:p>
    <w:p w:rsidR="00B5536D" w:rsidRDefault="00B5536D" w:rsidP="00764386">
      <w:pPr>
        <w:spacing w:line="240" w:lineRule="auto"/>
        <w:contextualSpacing/>
      </w:pPr>
      <w:r w:rsidRPr="007B0F7C">
        <w:t>The Median household income in Victor is $55,189</w:t>
      </w:r>
      <w:r>
        <w:t xml:space="preserve"> with a mean of </w:t>
      </w:r>
      <w:r w:rsidRPr="007B0F7C">
        <w:t>$62,151.</w:t>
      </w:r>
      <w:r w:rsidRPr="007B0F7C">
        <w:rPr>
          <w:rStyle w:val="FootnoteReference"/>
        </w:rPr>
        <w:t xml:space="preserve"> </w:t>
      </w:r>
      <w:r w:rsidRPr="007B0F7C">
        <w:rPr>
          <w:rStyle w:val="FootnoteReference"/>
        </w:rPr>
        <w:footnoteReference w:id="72"/>
      </w:r>
      <w:r>
        <w:rPr>
          <w:rStyle w:val="FootnoteReference"/>
        </w:rPr>
        <w:t xml:space="preserve"> </w:t>
      </w:r>
      <w:r>
        <w:t xml:space="preserve"> </w:t>
      </w:r>
      <w:r w:rsidRPr="007B0F7C">
        <w:t>Below is an income breakdown of the 879 households in Victor.</w:t>
      </w:r>
    </w:p>
    <w:p w:rsidR="00B5536D" w:rsidRPr="007B0F7C" w:rsidRDefault="00B5536D" w:rsidP="00764386">
      <w:pPr>
        <w:spacing w:line="240" w:lineRule="auto"/>
        <w:contextualSpacing/>
        <w:rPr>
          <w: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62"/>
        <w:gridCol w:w="2540"/>
      </w:tblGrid>
      <w:tr w:rsidR="00B5536D" w:rsidRPr="000D559D" w:rsidTr="001B6FFE">
        <w:trPr>
          <w:jc w:val="center"/>
        </w:trPr>
        <w:tc>
          <w:tcPr>
            <w:tcW w:w="2662" w:type="dxa"/>
          </w:tcPr>
          <w:p w:rsidR="00B5536D" w:rsidRPr="000D559D" w:rsidRDefault="00B5536D" w:rsidP="00764386">
            <w:pPr>
              <w:contextualSpacing/>
              <w:rPr>
                <w:rFonts w:ascii="Garamond" w:hAnsi="Garamond"/>
                <w:b/>
              </w:rPr>
            </w:pPr>
            <w:r w:rsidRPr="000D559D">
              <w:rPr>
                <w:rFonts w:ascii="Garamond" w:hAnsi="Garamond"/>
                <w:b/>
              </w:rPr>
              <w:t>Income</w:t>
            </w:r>
          </w:p>
        </w:tc>
        <w:tc>
          <w:tcPr>
            <w:tcW w:w="2540" w:type="dxa"/>
          </w:tcPr>
          <w:p w:rsidR="00B5536D" w:rsidRPr="000D559D" w:rsidRDefault="00B5536D" w:rsidP="00764386">
            <w:pPr>
              <w:contextualSpacing/>
              <w:jc w:val="center"/>
              <w:rPr>
                <w:rFonts w:ascii="Garamond" w:hAnsi="Garamond"/>
                <w:b/>
              </w:rPr>
            </w:pPr>
            <w:r w:rsidRPr="000D559D">
              <w:rPr>
                <w:rFonts w:ascii="Garamond" w:hAnsi="Garamond"/>
                <w:b/>
              </w:rPr>
              <w:t>Households</w:t>
            </w:r>
          </w:p>
        </w:tc>
      </w:tr>
      <w:tr w:rsidR="00B5536D" w:rsidRPr="000D559D" w:rsidTr="001B6FFE">
        <w:trPr>
          <w:jc w:val="center"/>
        </w:trPr>
        <w:tc>
          <w:tcPr>
            <w:tcW w:w="2662" w:type="dxa"/>
          </w:tcPr>
          <w:p w:rsidR="00B5536D" w:rsidRPr="000D559D" w:rsidRDefault="00B5536D" w:rsidP="00764386">
            <w:pPr>
              <w:contextualSpacing/>
              <w:rPr>
                <w:rFonts w:ascii="Garamond" w:hAnsi="Garamond"/>
              </w:rPr>
            </w:pPr>
            <w:r w:rsidRPr="000D559D">
              <w:rPr>
                <w:rFonts w:ascii="Garamond" w:hAnsi="Garamond"/>
              </w:rPr>
              <w:t>$0 to 9,999</w:t>
            </w:r>
          </w:p>
        </w:tc>
        <w:tc>
          <w:tcPr>
            <w:tcW w:w="2540" w:type="dxa"/>
          </w:tcPr>
          <w:p w:rsidR="00B5536D" w:rsidRPr="000D559D" w:rsidRDefault="00B5536D" w:rsidP="00764386">
            <w:pPr>
              <w:contextualSpacing/>
              <w:jc w:val="center"/>
              <w:rPr>
                <w:rFonts w:ascii="Garamond" w:hAnsi="Garamond"/>
              </w:rPr>
            </w:pPr>
            <w:r>
              <w:rPr>
                <w:rFonts w:ascii="Garamond" w:hAnsi="Garamond"/>
              </w:rPr>
              <w:t>13</w:t>
            </w:r>
          </w:p>
        </w:tc>
      </w:tr>
      <w:tr w:rsidR="00B5536D" w:rsidRPr="000D559D" w:rsidTr="001B6FFE">
        <w:trPr>
          <w:jc w:val="center"/>
        </w:trPr>
        <w:tc>
          <w:tcPr>
            <w:tcW w:w="2662" w:type="dxa"/>
          </w:tcPr>
          <w:p w:rsidR="00B5536D" w:rsidRPr="000D559D" w:rsidRDefault="00B5536D" w:rsidP="00764386">
            <w:pPr>
              <w:contextualSpacing/>
              <w:rPr>
                <w:rFonts w:ascii="Garamond" w:hAnsi="Garamond"/>
              </w:rPr>
            </w:pPr>
            <w:r w:rsidRPr="000D559D">
              <w:rPr>
                <w:rFonts w:ascii="Garamond" w:hAnsi="Garamond"/>
              </w:rPr>
              <w:t>$10,000 to $24,999</w:t>
            </w:r>
          </w:p>
        </w:tc>
        <w:tc>
          <w:tcPr>
            <w:tcW w:w="2540" w:type="dxa"/>
          </w:tcPr>
          <w:p w:rsidR="00B5536D" w:rsidRPr="000D559D" w:rsidRDefault="00B5536D" w:rsidP="00764386">
            <w:pPr>
              <w:contextualSpacing/>
              <w:jc w:val="center"/>
              <w:rPr>
                <w:rFonts w:ascii="Garamond" w:hAnsi="Garamond"/>
              </w:rPr>
            </w:pPr>
            <w:r>
              <w:rPr>
                <w:rFonts w:ascii="Garamond" w:hAnsi="Garamond"/>
              </w:rPr>
              <w:t>112</w:t>
            </w:r>
          </w:p>
        </w:tc>
      </w:tr>
      <w:tr w:rsidR="00B5536D" w:rsidRPr="000D559D" w:rsidTr="001B6FFE">
        <w:trPr>
          <w:jc w:val="center"/>
        </w:trPr>
        <w:tc>
          <w:tcPr>
            <w:tcW w:w="2662" w:type="dxa"/>
          </w:tcPr>
          <w:p w:rsidR="00B5536D" w:rsidRPr="000D559D" w:rsidRDefault="00B5536D" w:rsidP="00764386">
            <w:pPr>
              <w:contextualSpacing/>
              <w:rPr>
                <w:rFonts w:ascii="Garamond" w:hAnsi="Garamond"/>
              </w:rPr>
            </w:pPr>
            <w:r w:rsidRPr="000D559D">
              <w:rPr>
                <w:rFonts w:ascii="Garamond" w:hAnsi="Garamond"/>
              </w:rPr>
              <w:t>$25,000 to $49,999</w:t>
            </w:r>
          </w:p>
        </w:tc>
        <w:tc>
          <w:tcPr>
            <w:tcW w:w="2540" w:type="dxa"/>
          </w:tcPr>
          <w:p w:rsidR="00B5536D" w:rsidRPr="000D559D" w:rsidRDefault="00B5536D" w:rsidP="00764386">
            <w:pPr>
              <w:contextualSpacing/>
              <w:jc w:val="center"/>
              <w:rPr>
                <w:rFonts w:ascii="Garamond" w:hAnsi="Garamond"/>
              </w:rPr>
            </w:pPr>
            <w:r>
              <w:rPr>
                <w:rFonts w:ascii="Garamond" w:hAnsi="Garamond"/>
              </w:rPr>
              <w:t>271</w:t>
            </w:r>
          </w:p>
        </w:tc>
      </w:tr>
      <w:tr w:rsidR="00B5536D" w:rsidRPr="000D559D" w:rsidTr="001B6FFE">
        <w:trPr>
          <w:jc w:val="center"/>
        </w:trPr>
        <w:tc>
          <w:tcPr>
            <w:tcW w:w="2662" w:type="dxa"/>
          </w:tcPr>
          <w:p w:rsidR="00B5536D" w:rsidRPr="000D559D" w:rsidRDefault="00B5536D" w:rsidP="00764386">
            <w:pPr>
              <w:contextualSpacing/>
              <w:rPr>
                <w:rFonts w:ascii="Garamond" w:hAnsi="Garamond"/>
              </w:rPr>
            </w:pPr>
            <w:r w:rsidRPr="000D559D">
              <w:rPr>
                <w:rFonts w:ascii="Garamond" w:hAnsi="Garamond"/>
              </w:rPr>
              <w:t>$50,000 to $74,999</w:t>
            </w:r>
          </w:p>
        </w:tc>
        <w:tc>
          <w:tcPr>
            <w:tcW w:w="2540" w:type="dxa"/>
          </w:tcPr>
          <w:p w:rsidR="00B5536D" w:rsidRPr="000D559D" w:rsidRDefault="00B5536D" w:rsidP="00764386">
            <w:pPr>
              <w:contextualSpacing/>
              <w:jc w:val="center"/>
              <w:rPr>
                <w:rFonts w:ascii="Garamond" w:hAnsi="Garamond"/>
              </w:rPr>
            </w:pPr>
            <w:r>
              <w:rPr>
                <w:rFonts w:ascii="Garamond" w:hAnsi="Garamond"/>
              </w:rPr>
              <w:t>244</w:t>
            </w:r>
          </w:p>
        </w:tc>
      </w:tr>
      <w:tr w:rsidR="00B5536D" w:rsidRPr="000D559D" w:rsidTr="001B6FFE">
        <w:trPr>
          <w:jc w:val="center"/>
        </w:trPr>
        <w:tc>
          <w:tcPr>
            <w:tcW w:w="2662" w:type="dxa"/>
          </w:tcPr>
          <w:p w:rsidR="00B5536D" w:rsidRPr="000D559D" w:rsidRDefault="00B5536D" w:rsidP="00764386">
            <w:pPr>
              <w:contextualSpacing/>
              <w:rPr>
                <w:rFonts w:ascii="Garamond" w:hAnsi="Garamond"/>
              </w:rPr>
            </w:pPr>
            <w:r w:rsidRPr="000D559D">
              <w:rPr>
                <w:rFonts w:ascii="Garamond" w:hAnsi="Garamond"/>
              </w:rPr>
              <w:t>$75,000 to $99,999</w:t>
            </w:r>
          </w:p>
        </w:tc>
        <w:tc>
          <w:tcPr>
            <w:tcW w:w="2540" w:type="dxa"/>
          </w:tcPr>
          <w:p w:rsidR="00B5536D" w:rsidRPr="000D559D" w:rsidRDefault="00B5536D" w:rsidP="00764386">
            <w:pPr>
              <w:contextualSpacing/>
              <w:jc w:val="center"/>
              <w:rPr>
                <w:rFonts w:ascii="Garamond" w:hAnsi="Garamond"/>
              </w:rPr>
            </w:pPr>
            <w:r>
              <w:rPr>
                <w:rFonts w:ascii="Garamond" w:hAnsi="Garamond"/>
              </w:rPr>
              <w:t>98</w:t>
            </w:r>
          </w:p>
        </w:tc>
      </w:tr>
      <w:tr w:rsidR="00B5536D" w:rsidRPr="000D559D" w:rsidTr="001B6FFE">
        <w:trPr>
          <w:jc w:val="center"/>
        </w:trPr>
        <w:tc>
          <w:tcPr>
            <w:tcW w:w="2662" w:type="dxa"/>
          </w:tcPr>
          <w:p w:rsidR="00B5536D" w:rsidRPr="000D559D" w:rsidRDefault="00B5536D" w:rsidP="00764386">
            <w:pPr>
              <w:contextualSpacing/>
              <w:rPr>
                <w:rFonts w:ascii="Garamond" w:hAnsi="Garamond"/>
              </w:rPr>
            </w:pPr>
            <w:r w:rsidRPr="000D559D">
              <w:rPr>
                <w:rFonts w:ascii="Garamond" w:hAnsi="Garamond"/>
              </w:rPr>
              <w:t>$100,000 and Above</w:t>
            </w:r>
          </w:p>
        </w:tc>
        <w:tc>
          <w:tcPr>
            <w:tcW w:w="2540" w:type="dxa"/>
          </w:tcPr>
          <w:p w:rsidR="00B5536D" w:rsidRPr="000D559D" w:rsidRDefault="00B5536D" w:rsidP="00EE571F">
            <w:pPr>
              <w:keepNext/>
              <w:contextualSpacing/>
              <w:jc w:val="center"/>
              <w:rPr>
                <w:rFonts w:ascii="Garamond" w:hAnsi="Garamond"/>
              </w:rPr>
            </w:pPr>
            <w:r>
              <w:rPr>
                <w:rFonts w:ascii="Garamond" w:hAnsi="Garamond"/>
              </w:rPr>
              <w:t>141</w:t>
            </w:r>
          </w:p>
        </w:tc>
      </w:tr>
    </w:tbl>
    <w:p w:rsidR="00B5536D" w:rsidRDefault="00EE571F" w:rsidP="00EE571F">
      <w:pPr>
        <w:pStyle w:val="Caption"/>
      </w:pPr>
      <w:r>
        <w:tab/>
      </w:r>
      <w:r>
        <w:tab/>
      </w:r>
      <w:r>
        <w:tab/>
        <w:t xml:space="preserve">Figure </w:t>
      </w:r>
      <w:fldSimple w:instr=" SEQ Figure \* ARABIC ">
        <w:r w:rsidR="00707511">
          <w:rPr>
            <w:noProof/>
          </w:rPr>
          <w:t>48</w:t>
        </w:r>
      </w:fldSimple>
    </w:p>
    <w:p w:rsidR="00355BC6" w:rsidRDefault="00355BC6"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lastRenderedPageBreak/>
        <w:t>Home Values</w:t>
      </w:r>
    </w:p>
    <w:p w:rsidR="00B5536D" w:rsidRDefault="00B5536D" w:rsidP="00B85456">
      <w:pPr>
        <w:spacing w:line="240" w:lineRule="auto"/>
        <w:contextualSpacing/>
      </w:pPr>
      <w:r>
        <w:t>Victor has 444 owner occupied homes. The majority of the homes (66.9%) are valued between $200,000 and $499,999. The median home value is $264,000.</w:t>
      </w:r>
      <w:r w:rsidRPr="00496C84">
        <w:rPr>
          <w:rStyle w:val="FootnoteReference"/>
        </w:rPr>
        <w:t xml:space="preserve"> </w:t>
      </w:r>
      <w:r w:rsidRPr="007B0F7C">
        <w:rPr>
          <w:rStyle w:val="FootnoteReference"/>
        </w:rPr>
        <w:footnoteReference w:id="73"/>
      </w:r>
      <w:r>
        <w:t xml:space="preserve"> </w:t>
      </w:r>
    </w:p>
    <w:p w:rsidR="00355BC6" w:rsidRDefault="00355BC6" w:rsidP="00B85456">
      <w:pPr>
        <w:spacing w:line="240" w:lineRule="auto"/>
        <w:contextualSpacing/>
      </w:pPr>
    </w:p>
    <w:tbl>
      <w:tblPr>
        <w:tblStyle w:val="TableGrid"/>
        <w:tblpPr w:leftFromText="180" w:rightFromText="180" w:vertAnchor="text" w:tblpY="1"/>
        <w:tblOverlap w:val="neve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14"/>
        <w:gridCol w:w="3206"/>
        <w:gridCol w:w="2886"/>
      </w:tblGrid>
      <w:tr w:rsidR="00B5536D" w:rsidRPr="000D559D" w:rsidTr="001B6FFE">
        <w:trPr>
          <w:trHeight w:val="275"/>
        </w:trPr>
        <w:tc>
          <w:tcPr>
            <w:tcW w:w="3014" w:type="dxa"/>
          </w:tcPr>
          <w:p w:rsidR="00B5536D" w:rsidRPr="000D559D" w:rsidRDefault="00B5536D" w:rsidP="00764386">
            <w:pPr>
              <w:contextualSpacing/>
              <w:rPr>
                <w:rFonts w:ascii="Garamond" w:hAnsi="Garamond"/>
                <w:b/>
              </w:rPr>
            </w:pPr>
            <w:r w:rsidRPr="000D559D">
              <w:rPr>
                <w:rFonts w:ascii="Garamond" w:hAnsi="Garamond"/>
                <w:b/>
              </w:rPr>
              <w:t>Value</w:t>
            </w:r>
          </w:p>
        </w:tc>
        <w:tc>
          <w:tcPr>
            <w:tcW w:w="3206" w:type="dxa"/>
          </w:tcPr>
          <w:p w:rsidR="00B5536D" w:rsidRPr="000D559D" w:rsidRDefault="00B5536D" w:rsidP="00764386">
            <w:pPr>
              <w:contextualSpacing/>
              <w:jc w:val="center"/>
              <w:rPr>
                <w:rFonts w:ascii="Garamond" w:hAnsi="Garamond"/>
                <w:b/>
              </w:rPr>
            </w:pPr>
            <w:r w:rsidRPr="000D559D">
              <w:rPr>
                <w:rFonts w:ascii="Garamond" w:hAnsi="Garamond"/>
                <w:b/>
              </w:rPr>
              <w:t>Owner Occupied Units</w:t>
            </w:r>
          </w:p>
        </w:tc>
        <w:tc>
          <w:tcPr>
            <w:tcW w:w="2886" w:type="dxa"/>
          </w:tcPr>
          <w:p w:rsidR="00B5536D" w:rsidRPr="000D559D" w:rsidRDefault="00B5536D" w:rsidP="00764386">
            <w:pPr>
              <w:contextualSpacing/>
              <w:jc w:val="center"/>
              <w:rPr>
                <w:rFonts w:ascii="Garamond" w:hAnsi="Garamond"/>
                <w:b/>
              </w:rPr>
            </w:pPr>
            <w:r w:rsidRPr="000D559D">
              <w:rPr>
                <w:rFonts w:ascii="Garamond" w:hAnsi="Garamond"/>
                <w:b/>
              </w:rPr>
              <w:t>Percentage of Population</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0 to $49,999</w:t>
            </w:r>
          </w:p>
        </w:tc>
        <w:tc>
          <w:tcPr>
            <w:tcW w:w="3206" w:type="dxa"/>
          </w:tcPr>
          <w:p w:rsidR="00B5536D" w:rsidRPr="000D559D" w:rsidRDefault="00B5536D" w:rsidP="00764386">
            <w:pPr>
              <w:contextualSpacing/>
              <w:jc w:val="center"/>
              <w:rPr>
                <w:rFonts w:ascii="Garamond" w:hAnsi="Garamond"/>
              </w:rPr>
            </w:pPr>
            <w:r>
              <w:rPr>
                <w:rFonts w:ascii="Garamond" w:hAnsi="Garamond"/>
              </w:rPr>
              <w:t>18</w:t>
            </w:r>
          </w:p>
        </w:tc>
        <w:tc>
          <w:tcPr>
            <w:tcW w:w="2886" w:type="dxa"/>
          </w:tcPr>
          <w:p w:rsidR="00B5536D" w:rsidRPr="000D559D" w:rsidRDefault="00B5536D" w:rsidP="00764386">
            <w:pPr>
              <w:contextualSpacing/>
              <w:jc w:val="center"/>
              <w:rPr>
                <w:rFonts w:ascii="Garamond" w:hAnsi="Garamond"/>
              </w:rPr>
            </w:pPr>
            <w:r>
              <w:rPr>
                <w:rFonts w:ascii="Garamond" w:hAnsi="Garamond"/>
              </w:rPr>
              <w:t>4.1</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$50,000 to $99,999</w:t>
            </w:r>
          </w:p>
        </w:tc>
        <w:tc>
          <w:tcPr>
            <w:tcW w:w="3206" w:type="dxa"/>
          </w:tcPr>
          <w:p w:rsidR="00B5536D" w:rsidRPr="000D559D" w:rsidRDefault="00B5536D" w:rsidP="00764386">
            <w:pPr>
              <w:contextualSpacing/>
              <w:jc w:val="center"/>
              <w:rPr>
                <w:rFonts w:ascii="Garamond" w:hAnsi="Garamond"/>
              </w:rPr>
            </w:pPr>
            <w:r>
              <w:rPr>
                <w:rFonts w:ascii="Garamond" w:hAnsi="Garamond"/>
              </w:rPr>
              <w:t>49</w:t>
            </w:r>
          </w:p>
        </w:tc>
        <w:tc>
          <w:tcPr>
            <w:tcW w:w="2886" w:type="dxa"/>
          </w:tcPr>
          <w:p w:rsidR="00B5536D" w:rsidRPr="000D559D" w:rsidRDefault="00B5536D" w:rsidP="00764386">
            <w:pPr>
              <w:contextualSpacing/>
              <w:jc w:val="center"/>
              <w:rPr>
                <w:rFonts w:ascii="Garamond" w:hAnsi="Garamond"/>
              </w:rPr>
            </w:pPr>
            <w:r>
              <w:rPr>
                <w:rFonts w:ascii="Garamond" w:hAnsi="Garamond"/>
              </w:rPr>
              <w:t>11.0</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$100,000 to $149,999</w:t>
            </w:r>
          </w:p>
        </w:tc>
        <w:tc>
          <w:tcPr>
            <w:tcW w:w="3206" w:type="dxa"/>
          </w:tcPr>
          <w:p w:rsidR="00B5536D" w:rsidRPr="000D559D" w:rsidRDefault="00B5536D" w:rsidP="00764386">
            <w:pPr>
              <w:contextualSpacing/>
              <w:jc w:val="center"/>
              <w:rPr>
                <w:rFonts w:ascii="Garamond" w:hAnsi="Garamond"/>
              </w:rPr>
            </w:pPr>
            <w:r>
              <w:rPr>
                <w:rFonts w:ascii="Garamond" w:hAnsi="Garamond"/>
              </w:rPr>
              <w:t>27</w:t>
            </w:r>
          </w:p>
        </w:tc>
        <w:tc>
          <w:tcPr>
            <w:tcW w:w="2886" w:type="dxa"/>
          </w:tcPr>
          <w:p w:rsidR="00B5536D" w:rsidRPr="000D559D" w:rsidRDefault="00B5536D" w:rsidP="00764386">
            <w:pPr>
              <w:contextualSpacing/>
              <w:jc w:val="center"/>
              <w:rPr>
                <w:rFonts w:ascii="Garamond" w:hAnsi="Garamond"/>
              </w:rPr>
            </w:pPr>
            <w:r>
              <w:rPr>
                <w:rFonts w:ascii="Garamond" w:hAnsi="Garamond"/>
              </w:rPr>
              <w:t>6.1</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$150,000 to $199,999</w:t>
            </w:r>
          </w:p>
        </w:tc>
        <w:tc>
          <w:tcPr>
            <w:tcW w:w="3206" w:type="dxa"/>
          </w:tcPr>
          <w:p w:rsidR="00B5536D" w:rsidRPr="000D559D" w:rsidRDefault="00B5536D" w:rsidP="00764386">
            <w:pPr>
              <w:contextualSpacing/>
              <w:jc w:val="center"/>
              <w:rPr>
                <w:rFonts w:ascii="Garamond" w:hAnsi="Garamond"/>
              </w:rPr>
            </w:pPr>
            <w:r>
              <w:rPr>
                <w:rFonts w:ascii="Garamond" w:hAnsi="Garamond"/>
              </w:rPr>
              <w:t>35</w:t>
            </w:r>
          </w:p>
        </w:tc>
        <w:tc>
          <w:tcPr>
            <w:tcW w:w="2886" w:type="dxa"/>
          </w:tcPr>
          <w:p w:rsidR="00B5536D" w:rsidRPr="000D559D" w:rsidRDefault="00B5536D" w:rsidP="00764386">
            <w:pPr>
              <w:contextualSpacing/>
              <w:jc w:val="center"/>
              <w:rPr>
                <w:rFonts w:ascii="Garamond" w:hAnsi="Garamond"/>
              </w:rPr>
            </w:pPr>
            <w:r>
              <w:rPr>
                <w:rFonts w:ascii="Garamond" w:hAnsi="Garamond"/>
              </w:rPr>
              <w:t>7.9</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$200,000 to $299,999</w:t>
            </w:r>
          </w:p>
        </w:tc>
        <w:tc>
          <w:tcPr>
            <w:tcW w:w="3206" w:type="dxa"/>
          </w:tcPr>
          <w:p w:rsidR="00B5536D" w:rsidRPr="000D559D" w:rsidRDefault="00B5536D" w:rsidP="00764386">
            <w:pPr>
              <w:contextualSpacing/>
              <w:jc w:val="center"/>
              <w:rPr>
                <w:rFonts w:ascii="Garamond" w:hAnsi="Garamond"/>
              </w:rPr>
            </w:pPr>
            <w:r>
              <w:rPr>
                <w:rFonts w:ascii="Garamond" w:hAnsi="Garamond"/>
              </w:rPr>
              <w:t>140</w:t>
            </w:r>
          </w:p>
        </w:tc>
        <w:tc>
          <w:tcPr>
            <w:tcW w:w="2886" w:type="dxa"/>
          </w:tcPr>
          <w:p w:rsidR="00B5536D" w:rsidRPr="000D559D" w:rsidRDefault="00B5536D" w:rsidP="00764386">
            <w:pPr>
              <w:contextualSpacing/>
              <w:jc w:val="center"/>
              <w:rPr>
                <w:rFonts w:ascii="Garamond" w:hAnsi="Garamond"/>
              </w:rPr>
            </w:pPr>
            <w:r>
              <w:rPr>
                <w:rFonts w:ascii="Garamond" w:hAnsi="Garamond"/>
              </w:rPr>
              <w:t>31.5</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$300,000 to $499,999</w:t>
            </w:r>
          </w:p>
        </w:tc>
        <w:tc>
          <w:tcPr>
            <w:tcW w:w="3206" w:type="dxa"/>
          </w:tcPr>
          <w:p w:rsidR="00B5536D" w:rsidRPr="000D559D" w:rsidRDefault="00B5536D" w:rsidP="00764386">
            <w:pPr>
              <w:contextualSpacing/>
              <w:jc w:val="center"/>
              <w:rPr>
                <w:rFonts w:ascii="Garamond" w:hAnsi="Garamond"/>
              </w:rPr>
            </w:pPr>
            <w:r>
              <w:rPr>
                <w:rFonts w:ascii="Garamond" w:hAnsi="Garamond"/>
              </w:rPr>
              <w:t>157</w:t>
            </w:r>
          </w:p>
        </w:tc>
        <w:tc>
          <w:tcPr>
            <w:tcW w:w="2886" w:type="dxa"/>
          </w:tcPr>
          <w:p w:rsidR="00B5536D" w:rsidRPr="000D559D" w:rsidRDefault="00B5536D" w:rsidP="00764386">
            <w:pPr>
              <w:contextualSpacing/>
              <w:jc w:val="center"/>
              <w:rPr>
                <w:rFonts w:ascii="Garamond" w:hAnsi="Garamond"/>
              </w:rPr>
            </w:pPr>
            <w:r>
              <w:rPr>
                <w:rFonts w:ascii="Garamond" w:hAnsi="Garamond"/>
              </w:rPr>
              <w:t>35.4</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$500,000 to $999,999</w:t>
            </w:r>
          </w:p>
        </w:tc>
        <w:tc>
          <w:tcPr>
            <w:tcW w:w="3206" w:type="dxa"/>
          </w:tcPr>
          <w:p w:rsidR="00B5536D" w:rsidRPr="000D559D" w:rsidRDefault="00B5536D" w:rsidP="00764386">
            <w:pPr>
              <w:contextualSpacing/>
              <w:jc w:val="center"/>
              <w:rPr>
                <w:rFonts w:ascii="Garamond" w:hAnsi="Garamond"/>
              </w:rPr>
            </w:pPr>
            <w:r>
              <w:rPr>
                <w:rFonts w:ascii="Garamond" w:hAnsi="Garamond"/>
              </w:rPr>
              <w:t>18</w:t>
            </w:r>
          </w:p>
        </w:tc>
        <w:tc>
          <w:tcPr>
            <w:tcW w:w="2886" w:type="dxa"/>
          </w:tcPr>
          <w:p w:rsidR="00B5536D" w:rsidRPr="000D559D" w:rsidRDefault="00B5536D" w:rsidP="00764386">
            <w:pPr>
              <w:contextualSpacing/>
              <w:jc w:val="center"/>
              <w:rPr>
                <w:rFonts w:ascii="Garamond" w:hAnsi="Garamond"/>
              </w:rPr>
            </w:pPr>
            <w:r>
              <w:rPr>
                <w:rFonts w:ascii="Garamond" w:hAnsi="Garamond"/>
              </w:rPr>
              <w:t>4.1</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$1,000,000 or more</w:t>
            </w:r>
          </w:p>
        </w:tc>
        <w:tc>
          <w:tcPr>
            <w:tcW w:w="3206" w:type="dxa"/>
          </w:tcPr>
          <w:p w:rsidR="00B5536D" w:rsidRPr="000D559D" w:rsidRDefault="00B5536D" w:rsidP="00764386">
            <w:pPr>
              <w:contextualSpacing/>
              <w:jc w:val="center"/>
              <w:rPr>
                <w:rFonts w:ascii="Garamond" w:hAnsi="Garamond"/>
              </w:rPr>
            </w:pPr>
            <w:r>
              <w:rPr>
                <w:rFonts w:ascii="Garamond" w:hAnsi="Garamond"/>
              </w:rPr>
              <w:t>0</w:t>
            </w:r>
          </w:p>
        </w:tc>
        <w:tc>
          <w:tcPr>
            <w:tcW w:w="2886" w:type="dxa"/>
          </w:tcPr>
          <w:p w:rsidR="00B5536D" w:rsidRPr="000D559D" w:rsidRDefault="00B5536D" w:rsidP="00764386">
            <w:pPr>
              <w:contextualSpacing/>
              <w:jc w:val="center"/>
              <w:rPr>
                <w:rFonts w:ascii="Garamond" w:hAnsi="Garamond"/>
              </w:rPr>
            </w:pPr>
            <w:r>
              <w:rPr>
                <w:rFonts w:ascii="Garamond" w:hAnsi="Garamond"/>
              </w:rPr>
              <w:t>0.0</w:t>
            </w:r>
            <w:r w:rsidRPr="000D559D">
              <w:rPr>
                <w:rFonts w:ascii="Garamond" w:hAnsi="Garamond"/>
              </w:rPr>
              <w:t>%</w:t>
            </w:r>
          </w:p>
        </w:tc>
      </w:tr>
      <w:tr w:rsidR="00B5536D" w:rsidRPr="000D559D" w:rsidTr="001B6FFE">
        <w:trPr>
          <w:trHeight w:val="275"/>
        </w:trPr>
        <w:tc>
          <w:tcPr>
            <w:tcW w:w="3014" w:type="dxa"/>
          </w:tcPr>
          <w:p w:rsidR="00B5536D" w:rsidRPr="000D559D" w:rsidRDefault="00B5536D" w:rsidP="00764386">
            <w:pPr>
              <w:contextualSpacing/>
              <w:rPr>
                <w:rFonts w:ascii="Garamond" w:hAnsi="Garamond"/>
              </w:rPr>
            </w:pPr>
            <w:r w:rsidRPr="000D559D">
              <w:rPr>
                <w:rFonts w:ascii="Garamond" w:hAnsi="Garamond"/>
              </w:rPr>
              <w:t>Total</w:t>
            </w:r>
          </w:p>
        </w:tc>
        <w:tc>
          <w:tcPr>
            <w:tcW w:w="3206" w:type="dxa"/>
          </w:tcPr>
          <w:p w:rsidR="00B5536D" w:rsidRPr="000D559D" w:rsidRDefault="00B5536D" w:rsidP="00764386">
            <w:pPr>
              <w:contextualSpacing/>
              <w:jc w:val="center"/>
              <w:rPr>
                <w:rFonts w:ascii="Garamond" w:hAnsi="Garamond"/>
              </w:rPr>
            </w:pPr>
            <w:r>
              <w:rPr>
                <w:rFonts w:ascii="Garamond" w:hAnsi="Garamond"/>
              </w:rPr>
              <w:t>444</w:t>
            </w:r>
          </w:p>
        </w:tc>
        <w:tc>
          <w:tcPr>
            <w:tcW w:w="2886" w:type="dxa"/>
          </w:tcPr>
          <w:p w:rsidR="00B5536D" w:rsidRPr="000D559D" w:rsidRDefault="00B5536D" w:rsidP="00EE571F">
            <w:pPr>
              <w:keepNext/>
              <w:contextualSpacing/>
              <w:jc w:val="center"/>
              <w:rPr>
                <w:rFonts w:ascii="Garamond" w:hAnsi="Garamond"/>
              </w:rPr>
            </w:pPr>
            <w:r w:rsidRPr="000D559D">
              <w:rPr>
                <w:rFonts w:ascii="Garamond" w:hAnsi="Garamond"/>
              </w:rPr>
              <w:t>100%</w:t>
            </w:r>
          </w:p>
        </w:tc>
      </w:tr>
    </w:tbl>
    <w:p w:rsidR="00EE571F" w:rsidRDefault="00EE571F" w:rsidP="00EE571F">
      <w:pPr>
        <w:pStyle w:val="Caption"/>
        <w:framePr w:hSpace="180" w:wrap="around" w:vAnchor="text" w:hAnchor="text" w:y="1"/>
        <w:suppressOverlap/>
      </w:pPr>
      <w:r>
        <w:t xml:space="preserve">Figure </w:t>
      </w:r>
      <w:fldSimple w:instr=" SEQ Figure \* ARABIC ">
        <w:r w:rsidR="00707511">
          <w:rPr>
            <w:noProof/>
          </w:rPr>
          <w:t>49</w:t>
        </w:r>
      </w:fldSimple>
    </w:p>
    <w:p w:rsidR="00B5536D" w:rsidRDefault="00B5536D" w:rsidP="00764386">
      <w:pPr>
        <w:pStyle w:val="Heading3"/>
        <w:spacing w:line="240" w:lineRule="auto"/>
        <w:contextualSpacing/>
        <w:rPr>
          <w:rFonts w:ascii="Garamond" w:eastAsiaTheme="minorHAnsi" w:hAnsi="Garamond" w:cstheme="minorBidi"/>
          <w:b w:val="0"/>
          <w:bCs w:val="0"/>
          <w:color w:val="auto"/>
        </w:rPr>
      </w:pPr>
    </w:p>
    <w:p w:rsidR="00B5536D" w:rsidRPr="00B864AC" w:rsidRDefault="00B5536D" w:rsidP="00764386">
      <w:pPr>
        <w:spacing w:line="240" w:lineRule="auto"/>
        <w:contextualSpacing/>
        <w:rPr>
          <w:b/>
          <w:color w:val="4E5612"/>
          <w:sz w:val="25"/>
        </w:rPr>
      </w:pPr>
      <w:r w:rsidRPr="00B864AC">
        <w:rPr>
          <w:b/>
          <w:color w:val="4E5612"/>
          <w:sz w:val="25"/>
        </w:rPr>
        <w:t>Housing Costs</w:t>
      </w:r>
    </w:p>
    <w:p w:rsidR="00B5536D" w:rsidRPr="00496C84" w:rsidRDefault="00B5536D" w:rsidP="00764386">
      <w:pPr>
        <w:spacing w:line="240" w:lineRule="auto"/>
        <w:contextualSpacing/>
      </w:pPr>
      <w:r w:rsidRPr="00496C84">
        <w:t>In Victor, 51% of those with a mortgage are paying more than 30% of their income on housing costs. Of those renting, 18.4% are paying more than 30% on housing.</w:t>
      </w:r>
      <w:r>
        <w:t xml:space="preserve"> The median cost spent per month on homes with a mortgage is $1,572 and the median monthly rental cost is $792.</w:t>
      </w:r>
      <w:r w:rsidRPr="00496C84">
        <w:rPr>
          <w:rStyle w:val="FootnoteReference"/>
        </w:rPr>
        <w:t xml:space="preserve"> </w:t>
      </w:r>
      <w:r>
        <w:rPr>
          <w:rStyle w:val="FootnoteReference"/>
        </w:rPr>
        <w:footnoteReference w:id="74"/>
      </w:r>
    </w:p>
    <w:p w:rsidR="00B5536D" w:rsidRPr="00496C84" w:rsidRDefault="00B5536D" w:rsidP="00764386">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394"/>
        <w:gridCol w:w="2394"/>
        <w:gridCol w:w="2394"/>
        <w:gridCol w:w="2394"/>
      </w:tblGrid>
      <w:tr w:rsidR="00B5536D" w:rsidRPr="00496C84" w:rsidTr="00355BC6">
        <w:tc>
          <w:tcPr>
            <w:tcW w:w="2394" w:type="dxa"/>
          </w:tcPr>
          <w:p w:rsidR="00B5536D" w:rsidRPr="00496C84" w:rsidRDefault="00B5536D" w:rsidP="00764386">
            <w:pPr>
              <w:contextualSpacing/>
              <w:rPr>
                <w:rFonts w:ascii="Garamond" w:hAnsi="Garamond"/>
                <w:b/>
              </w:rPr>
            </w:pPr>
            <w:r w:rsidRPr="00496C84">
              <w:rPr>
                <w:rFonts w:ascii="Garamond" w:hAnsi="Garamond"/>
                <w:b/>
              </w:rPr>
              <w:t>Percent of Income Spent on Housing</w:t>
            </w:r>
          </w:p>
        </w:tc>
        <w:tc>
          <w:tcPr>
            <w:tcW w:w="2394" w:type="dxa"/>
          </w:tcPr>
          <w:p w:rsidR="00B5536D" w:rsidRPr="00496C84" w:rsidRDefault="00B5536D" w:rsidP="00764386">
            <w:pPr>
              <w:contextualSpacing/>
              <w:rPr>
                <w:rFonts w:ascii="Garamond" w:hAnsi="Garamond"/>
                <w:b/>
              </w:rPr>
            </w:pPr>
            <w:r w:rsidRPr="00496C84">
              <w:rPr>
                <w:rFonts w:ascii="Garamond" w:hAnsi="Garamond"/>
                <w:b/>
              </w:rPr>
              <w:t>Housing Costs with a Mortgage</w:t>
            </w:r>
          </w:p>
        </w:tc>
        <w:tc>
          <w:tcPr>
            <w:tcW w:w="2394" w:type="dxa"/>
          </w:tcPr>
          <w:p w:rsidR="00B5536D" w:rsidRPr="00496C84" w:rsidRDefault="00B5536D" w:rsidP="00764386">
            <w:pPr>
              <w:contextualSpacing/>
              <w:rPr>
                <w:rFonts w:ascii="Garamond" w:hAnsi="Garamond"/>
                <w:b/>
              </w:rPr>
            </w:pPr>
            <w:r w:rsidRPr="00496C84">
              <w:rPr>
                <w:rFonts w:ascii="Garamond" w:hAnsi="Garamond"/>
                <w:b/>
              </w:rPr>
              <w:t>Housing Costs without a Mortgage</w:t>
            </w:r>
          </w:p>
        </w:tc>
        <w:tc>
          <w:tcPr>
            <w:tcW w:w="2394" w:type="dxa"/>
          </w:tcPr>
          <w:p w:rsidR="00B5536D" w:rsidRPr="00496C84" w:rsidRDefault="00B5536D" w:rsidP="00764386">
            <w:pPr>
              <w:contextualSpacing/>
              <w:rPr>
                <w:rFonts w:ascii="Garamond" w:hAnsi="Garamond"/>
                <w:b/>
              </w:rPr>
            </w:pPr>
            <w:r w:rsidRPr="00496C84">
              <w:rPr>
                <w:rFonts w:ascii="Garamond" w:hAnsi="Garamond"/>
                <w:b/>
              </w:rPr>
              <w:t>Rental Costs</w:t>
            </w:r>
          </w:p>
        </w:tc>
      </w:tr>
      <w:tr w:rsidR="00B5536D" w:rsidRPr="00496C84" w:rsidTr="00355BC6">
        <w:tc>
          <w:tcPr>
            <w:tcW w:w="2394" w:type="dxa"/>
          </w:tcPr>
          <w:p w:rsidR="00B5536D" w:rsidRPr="00496C84" w:rsidRDefault="00B5536D" w:rsidP="00764386">
            <w:pPr>
              <w:contextualSpacing/>
              <w:rPr>
                <w:rFonts w:ascii="Garamond" w:hAnsi="Garamond"/>
              </w:rPr>
            </w:pPr>
            <w:r w:rsidRPr="00496C84">
              <w:rPr>
                <w:rFonts w:ascii="Garamond" w:hAnsi="Garamond"/>
              </w:rPr>
              <w:t>Less than 20%</w:t>
            </w:r>
          </w:p>
        </w:tc>
        <w:tc>
          <w:tcPr>
            <w:tcW w:w="2394" w:type="dxa"/>
          </w:tcPr>
          <w:p w:rsidR="00B5536D" w:rsidRPr="00496C84" w:rsidRDefault="00B5536D" w:rsidP="00764386">
            <w:pPr>
              <w:contextualSpacing/>
              <w:rPr>
                <w:rFonts w:ascii="Garamond" w:hAnsi="Garamond"/>
              </w:rPr>
            </w:pPr>
            <w:r w:rsidRPr="00496C84">
              <w:rPr>
                <w:rFonts w:ascii="Garamond" w:hAnsi="Garamond"/>
              </w:rPr>
              <w:t>27.9%</w:t>
            </w:r>
          </w:p>
        </w:tc>
        <w:tc>
          <w:tcPr>
            <w:tcW w:w="2394" w:type="dxa"/>
          </w:tcPr>
          <w:p w:rsidR="00B5536D" w:rsidRPr="00496C84" w:rsidRDefault="00B5536D" w:rsidP="00764386">
            <w:pPr>
              <w:contextualSpacing/>
              <w:rPr>
                <w:rFonts w:ascii="Garamond" w:hAnsi="Garamond"/>
              </w:rPr>
            </w:pPr>
            <w:r w:rsidRPr="00496C84">
              <w:rPr>
                <w:rFonts w:ascii="Garamond" w:hAnsi="Garamond"/>
              </w:rPr>
              <w:t>76.7%</w:t>
            </w:r>
          </w:p>
        </w:tc>
        <w:tc>
          <w:tcPr>
            <w:tcW w:w="2394" w:type="dxa"/>
          </w:tcPr>
          <w:p w:rsidR="00B5536D" w:rsidRPr="00496C84" w:rsidRDefault="00B5536D" w:rsidP="00764386">
            <w:pPr>
              <w:contextualSpacing/>
              <w:rPr>
                <w:rFonts w:ascii="Garamond" w:hAnsi="Garamond"/>
              </w:rPr>
            </w:pPr>
            <w:r w:rsidRPr="00496C84">
              <w:rPr>
                <w:rFonts w:ascii="Garamond" w:hAnsi="Garamond"/>
              </w:rPr>
              <w:t>28.9%</w:t>
            </w:r>
          </w:p>
        </w:tc>
      </w:tr>
      <w:tr w:rsidR="00B5536D" w:rsidRPr="00496C84" w:rsidTr="00355BC6">
        <w:tc>
          <w:tcPr>
            <w:tcW w:w="2394" w:type="dxa"/>
          </w:tcPr>
          <w:p w:rsidR="00B5536D" w:rsidRPr="00496C84" w:rsidRDefault="00B5536D" w:rsidP="00764386">
            <w:pPr>
              <w:contextualSpacing/>
              <w:rPr>
                <w:rFonts w:ascii="Garamond" w:hAnsi="Garamond"/>
              </w:rPr>
            </w:pPr>
            <w:r w:rsidRPr="00496C84">
              <w:rPr>
                <w:rFonts w:ascii="Garamond" w:hAnsi="Garamond"/>
              </w:rPr>
              <w:t>20% to 24.9%</w:t>
            </w:r>
          </w:p>
        </w:tc>
        <w:tc>
          <w:tcPr>
            <w:tcW w:w="2394" w:type="dxa"/>
          </w:tcPr>
          <w:p w:rsidR="00B5536D" w:rsidRPr="00496C84" w:rsidRDefault="00B5536D" w:rsidP="00764386">
            <w:pPr>
              <w:contextualSpacing/>
              <w:rPr>
                <w:rFonts w:ascii="Garamond" w:hAnsi="Garamond"/>
              </w:rPr>
            </w:pPr>
            <w:r w:rsidRPr="00496C84">
              <w:rPr>
                <w:rFonts w:ascii="Garamond" w:hAnsi="Garamond"/>
              </w:rPr>
              <w:t>10.6%</w:t>
            </w:r>
          </w:p>
        </w:tc>
        <w:tc>
          <w:tcPr>
            <w:tcW w:w="2394" w:type="dxa"/>
          </w:tcPr>
          <w:p w:rsidR="00B5536D" w:rsidRPr="00496C84" w:rsidRDefault="00B5536D" w:rsidP="00764386">
            <w:pPr>
              <w:contextualSpacing/>
              <w:rPr>
                <w:rFonts w:ascii="Garamond" w:hAnsi="Garamond"/>
              </w:rPr>
            </w:pPr>
            <w:r w:rsidRPr="00496C84">
              <w:rPr>
                <w:rFonts w:ascii="Garamond" w:hAnsi="Garamond"/>
              </w:rPr>
              <w:t>19.4%</w:t>
            </w:r>
          </w:p>
        </w:tc>
        <w:tc>
          <w:tcPr>
            <w:tcW w:w="2394" w:type="dxa"/>
          </w:tcPr>
          <w:p w:rsidR="00B5536D" w:rsidRPr="00496C84" w:rsidRDefault="00B5536D" w:rsidP="00764386">
            <w:pPr>
              <w:contextualSpacing/>
              <w:rPr>
                <w:rFonts w:ascii="Garamond" w:hAnsi="Garamond"/>
              </w:rPr>
            </w:pPr>
            <w:r w:rsidRPr="00496C84">
              <w:rPr>
                <w:rFonts w:ascii="Garamond" w:hAnsi="Garamond"/>
              </w:rPr>
              <w:t>43.2%</w:t>
            </w:r>
          </w:p>
        </w:tc>
      </w:tr>
      <w:tr w:rsidR="00B5536D" w:rsidRPr="00496C84" w:rsidTr="00355BC6">
        <w:tc>
          <w:tcPr>
            <w:tcW w:w="2394" w:type="dxa"/>
          </w:tcPr>
          <w:p w:rsidR="00B5536D" w:rsidRPr="00496C84" w:rsidRDefault="00B5536D" w:rsidP="00764386">
            <w:pPr>
              <w:contextualSpacing/>
              <w:rPr>
                <w:rFonts w:ascii="Garamond" w:hAnsi="Garamond"/>
              </w:rPr>
            </w:pPr>
            <w:r w:rsidRPr="00496C84">
              <w:rPr>
                <w:rFonts w:ascii="Garamond" w:hAnsi="Garamond"/>
              </w:rPr>
              <w:t>25% to 29.9%</w:t>
            </w:r>
          </w:p>
        </w:tc>
        <w:tc>
          <w:tcPr>
            <w:tcW w:w="2394" w:type="dxa"/>
          </w:tcPr>
          <w:p w:rsidR="00B5536D" w:rsidRPr="00496C84" w:rsidRDefault="00B5536D" w:rsidP="00764386">
            <w:pPr>
              <w:contextualSpacing/>
              <w:rPr>
                <w:rFonts w:ascii="Garamond" w:hAnsi="Garamond"/>
              </w:rPr>
            </w:pPr>
            <w:r w:rsidRPr="00496C84">
              <w:rPr>
                <w:rFonts w:ascii="Garamond" w:hAnsi="Garamond"/>
              </w:rPr>
              <w:t>10.6%</w:t>
            </w:r>
          </w:p>
        </w:tc>
        <w:tc>
          <w:tcPr>
            <w:tcW w:w="2394" w:type="dxa"/>
          </w:tcPr>
          <w:p w:rsidR="00B5536D" w:rsidRPr="00496C84" w:rsidRDefault="00B5536D" w:rsidP="00764386">
            <w:pPr>
              <w:contextualSpacing/>
              <w:rPr>
                <w:rFonts w:ascii="Garamond" w:hAnsi="Garamond"/>
              </w:rPr>
            </w:pPr>
            <w:r w:rsidRPr="00496C84">
              <w:rPr>
                <w:rFonts w:ascii="Garamond" w:hAnsi="Garamond"/>
              </w:rPr>
              <w:t>3.9%</w:t>
            </w:r>
          </w:p>
        </w:tc>
        <w:tc>
          <w:tcPr>
            <w:tcW w:w="2394" w:type="dxa"/>
          </w:tcPr>
          <w:p w:rsidR="00B5536D" w:rsidRPr="00496C84" w:rsidRDefault="00B5536D" w:rsidP="00764386">
            <w:pPr>
              <w:contextualSpacing/>
              <w:rPr>
                <w:rFonts w:ascii="Garamond" w:hAnsi="Garamond"/>
              </w:rPr>
            </w:pPr>
            <w:r w:rsidRPr="00496C84">
              <w:rPr>
                <w:rFonts w:ascii="Garamond" w:hAnsi="Garamond"/>
              </w:rPr>
              <w:t>9.4%</w:t>
            </w:r>
          </w:p>
        </w:tc>
      </w:tr>
      <w:tr w:rsidR="00B5536D" w:rsidRPr="00496C84" w:rsidTr="00355BC6">
        <w:tc>
          <w:tcPr>
            <w:tcW w:w="2394" w:type="dxa"/>
          </w:tcPr>
          <w:p w:rsidR="00B5536D" w:rsidRPr="00496C84" w:rsidRDefault="00B5536D" w:rsidP="00764386">
            <w:pPr>
              <w:contextualSpacing/>
              <w:rPr>
                <w:rFonts w:ascii="Garamond" w:hAnsi="Garamond"/>
              </w:rPr>
            </w:pPr>
            <w:r w:rsidRPr="00496C84">
              <w:rPr>
                <w:rFonts w:ascii="Garamond" w:hAnsi="Garamond"/>
              </w:rPr>
              <w:t>30% to 34.9%</w:t>
            </w:r>
          </w:p>
        </w:tc>
        <w:tc>
          <w:tcPr>
            <w:tcW w:w="2394" w:type="dxa"/>
          </w:tcPr>
          <w:p w:rsidR="00B5536D" w:rsidRPr="00496C84" w:rsidRDefault="00B5536D" w:rsidP="00764386">
            <w:pPr>
              <w:contextualSpacing/>
              <w:rPr>
                <w:rFonts w:ascii="Garamond" w:hAnsi="Garamond"/>
              </w:rPr>
            </w:pPr>
            <w:r w:rsidRPr="00496C84">
              <w:rPr>
                <w:rFonts w:ascii="Garamond" w:hAnsi="Garamond"/>
              </w:rPr>
              <w:t>12.9%</w:t>
            </w:r>
          </w:p>
        </w:tc>
        <w:tc>
          <w:tcPr>
            <w:tcW w:w="2394" w:type="dxa"/>
          </w:tcPr>
          <w:p w:rsidR="00B5536D" w:rsidRPr="00496C84" w:rsidRDefault="00B5536D" w:rsidP="00764386">
            <w:pPr>
              <w:contextualSpacing/>
              <w:rPr>
                <w:rFonts w:ascii="Garamond" w:hAnsi="Garamond"/>
              </w:rPr>
            </w:pPr>
            <w:r w:rsidRPr="00496C84">
              <w:rPr>
                <w:rFonts w:ascii="Garamond" w:hAnsi="Garamond"/>
              </w:rPr>
              <w:t>0.0%</w:t>
            </w:r>
          </w:p>
        </w:tc>
        <w:tc>
          <w:tcPr>
            <w:tcW w:w="2394" w:type="dxa"/>
          </w:tcPr>
          <w:p w:rsidR="00B5536D" w:rsidRPr="00496C84" w:rsidRDefault="00B5536D" w:rsidP="00764386">
            <w:pPr>
              <w:contextualSpacing/>
              <w:rPr>
                <w:rFonts w:ascii="Garamond" w:hAnsi="Garamond"/>
              </w:rPr>
            </w:pPr>
            <w:r w:rsidRPr="00496C84">
              <w:rPr>
                <w:rFonts w:ascii="Garamond" w:hAnsi="Garamond"/>
              </w:rPr>
              <w:t>3.9%</w:t>
            </w:r>
          </w:p>
        </w:tc>
      </w:tr>
      <w:tr w:rsidR="00B5536D" w:rsidRPr="00496C84" w:rsidTr="00355BC6">
        <w:tc>
          <w:tcPr>
            <w:tcW w:w="2394" w:type="dxa"/>
          </w:tcPr>
          <w:p w:rsidR="00B5536D" w:rsidRPr="00496C84" w:rsidRDefault="00B5536D" w:rsidP="00764386">
            <w:pPr>
              <w:contextualSpacing/>
              <w:rPr>
                <w:rFonts w:ascii="Garamond" w:hAnsi="Garamond"/>
              </w:rPr>
            </w:pPr>
            <w:r w:rsidRPr="00496C84">
              <w:rPr>
                <w:rFonts w:ascii="Garamond" w:hAnsi="Garamond"/>
              </w:rPr>
              <w:t>35% or more</w:t>
            </w:r>
          </w:p>
        </w:tc>
        <w:tc>
          <w:tcPr>
            <w:tcW w:w="2394" w:type="dxa"/>
          </w:tcPr>
          <w:p w:rsidR="00B5536D" w:rsidRPr="00496C84" w:rsidRDefault="00B5536D" w:rsidP="00764386">
            <w:pPr>
              <w:contextualSpacing/>
              <w:rPr>
                <w:rFonts w:ascii="Garamond" w:hAnsi="Garamond"/>
              </w:rPr>
            </w:pPr>
            <w:r w:rsidRPr="00496C84">
              <w:rPr>
                <w:rFonts w:ascii="Garamond" w:hAnsi="Garamond"/>
              </w:rPr>
              <w:t>38.1%</w:t>
            </w:r>
          </w:p>
        </w:tc>
        <w:tc>
          <w:tcPr>
            <w:tcW w:w="2394" w:type="dxa"/>
          </w:tcPr>
          <w:p w:rsidR="00B5536D" w:rsidRPr="00496C84" w:rsidRDefault="00B5536D" w:rsidP="00764386">
            <w:pPr>
              <w:contextualSpacing/>
              <w:rPr>
                <w:rFonts w:ascii="Garamond" w:hAnsi="Garamond"/>
              </w:rPr>
            </w:pPr>
            <w:r w:rsidRPr="00496C84">
              <w:rPr>
                <w:rFonts w:ascii="Garamond" w:hAnsi="Garamond"/>
              </w:rPr>
              <w:t>0.0%</w:t>
            </w:r>
          </w:p>
        </w:tc>
        <w:tc>
          <w:tcPr>
            <w:tcW w:w="2394" w:type="dxa"/>
          </w:tcPr>
          <w:p w:rsidR="00B5536D" w:rsidRPr="00496C84" w:rsidRDefault="00B5536D" w:rsidP="00EE571F">
            <w:pPr>
              <w:keepNext/>
              <w:contextualSpacing/>
              <w:rPr>
                <w:rFonts w:ascii="Garamond" w:hAnsi="Garamond"/>
              </w:rPr>
            </w:pPr>
            <w:r w:rsidRPr="00496C84">
              <w:rPr>
                <w:rFonts w:ascii="Garamond" w:hAnsi="Garamond"/>
              </w:rPr>
              <w:t>14.5%</w:t>
            </w:r>
          </w:p>
        </w:tc>
      </w:tr>
    </w:tbl>
    <w:p w:rsidR="00B5536D" w:rsidRPr="007B0F7C" w:rsidRDefault="00EE571F" w:rsidP="00EE571F">
      <w:pPr>
        <w:pStyle w:val="Caption"/>
        <w:rPr>
          <w:b w:val="0"/>
        </w:rPr>
      </w:pPr>
      <w:r>
        <w:t xml:space="preserve">Figure </w:t>
      </w:r>
      <w:fldSimple w:instr=" SEQ Figure \* ARABIC ">
        <w:r w:rsidR="00707511">
          <w:rPr>
            <w:noProof/>
          </w:rPr>
          <w:t>50</w:t>
        </w:r>
      </w:fldSimple>
    </w:p>
    <w:p w:rsidR="00B5536D" w:rsidRPr="00B864AC" w:rsidRDefault="00B5536D" w:rsidP="00764386">
      <w:pPr>
        <w:spacing w:line="240" w:lineRule="auto"/>
        <w:contextualSpacing/>
        <w:rPr>
          <w:b/>
          <w:color w:val="4E5612"/>
          <w:sz w:val="25"/>
        </w:rPr>
      </w:pPr>
      <w:r w:rsidRPr="00B864AC">
        <w:rPr>
          <w:b/>
          <w:color w:val="4E5612"/>
          <w:sz w:val="25"/>
        </w:rPr>
        <w:t>Number of Homes and Rentals</w:t>
      </w:r>
    </w:p>
    <w:p w:rsidR="00B5536D" w:rsidRPr="00496C84" w:rsidRDefault="00B5536D" w:rsidP="00764386">
      <w:pPr>
        <w:spacing w:line="240" w:lineRule="auto"/>
        <w:contextualSpacing/>
        <w:rPr>
          <w:vertAlign w:val="superscript"/>
        </w:rPr>
      </w:pPr>
      <w:r w:rsidRPr="007B0F7C">
        <w:t xml:space="preserve">The </w:t>
      </w:r>
      <w:r>
        <w:t xml:space="preserve">total number of housing units in Victor is </w:t>
      </w:r>
      <w:r w:rsidRPr="007B0F7C">
        <w:t>1</w:t>
      </w:r>
      <w:r>
        <w:t>,073 with</w:t>
      </w:r>
      <w:r w:rsidRPr="007B0F7C">
        <w:t xml:space="preserve"> 879 (82</w:t>
      </w:r>
      <w:r>
        <w:t xml:space="preserve">%) housing units </w:t>
      </w:r>
      <w:r w:rsidRPr="007B0F7C">
        <w:t>estimated as occupi</w:t>
      </w:r>
      <w:r>
        <w:t>ed. There is</w:t>
      </w:r>
      <w:r w:rsidRPr="007B0F7C">
        <w:t xml:space="preserve"> an estimated 194 (18%) vacant housing units.</w:t>
      </w:r>
      <w:r>
        <w:rPr>
          <w:vertAlign w:val="superscript"/>
        </w:rPr>
        <w:t xml:space="preserve">  </w:t>
      </w:r>
      <w:r w:rsidRPr="007B0F7C">
        <w:t>The number of real estate listings in Victor, Idaho including units for rent and for sale only is 255 units.</w:t>
      </w:r>
      <w:r w:rsidRPr="007B0F7C">
        <w:rPr>
          <w:rStyle w:val="FootnoteReference"/>
        </w:rPr>
        <w:footnoteReference w:id="75"/>
      </w:r>
      <w:r w:rsidRPr="007B0F7C">
        <w:t xml:space="preserve"> </w:t>
      </w:r>
      <w:r>
        <w:t xml:space="preserve"> </w:t>
      </w:r>
      <w:r w:rsidRPr="007B0F7C">
        <w:t>The average sales price in Vi</w:t>
      </w:r>
      <w:r>
        <w:t>ctor, Idaho is listed as $322,408.</w:t>
      </w:r>
      <w:r>
        <w:rPr>
          <w:rStyle w:val="FootnoteReference"/>
        </w:rPr>
        <w:footnoteReference w:id="76"/>
      </w:r>
    </w:p>
    <w:p w:rsidR="00AA2CEB" w:rsidRDefault="00AA2CEB">
      <w:pPr>
        <w:rPr>
          <w:rFonts w:eastAsiaTheme="majorEastAsia" w:cstheme="majorBidi"/>
          <w:b/>
          <w:bCs/>
          <w:color w:val="4E5612"/>
          <w:sz w:val="26"/>
          <w:szCs w:val="26"/>
        </w:rPr>
      </w:pPr>
      <w:r>
        <w:rPr>
          <w:color w:val="4E5612"/>
        </w:rPr>
        <w:br w:type="page"/>
      </w:r>
    </w:p>
    <w:p w:rsidR="00A77B10" w:rsidRDefault="00B5536D" w:rsidP="00A77B10">
      <w:pPr>
        <w:pStyle w:val="Heading2"/>
        <w:spacing w:line="240" w:lineRule="auto"/>
        <w:contextualSpacing/>
        <w:rPr>
          <w:color w:val="4E5612"/>
        </w:rPr>
      </w:pPr>
      <w:bookmarkStart w:id="17" w:name="_Toc329954142"/>
      <w:r w:rsidRPr="00B85456">
        <w:rPr>
          <w:color w:val="4E5612"/>
        </w:rPr>
        <w:lastRenderedPageBreak/>
        <w:t>Saint Anthony, Idaho</w:t>
      </w:r>
      <w:bookmarkEnd w:id="17"/>
    </w:p>
    <w:p w:rsidR="00B5536D" w:rsidRPr="00A77B10" w:rsidRDefault="00B5536D" w:rsidP="00A77B10">
      <w:pPr>
        <w:spacing w:line="240" w:lineRule="auto"/>
        <w:contextualSpacing/>
      </w:pPr>
    </w:p>
    <w:p w:rsidR="00B5536D" w:rsidRPr="00B864AC" w:rsidRDefault="00B5536D" w:rsidP="00A77B10">
      <w:pPr>
        <w:spacing w:line="240" w:lineRule="auto"/>
        <w:contextualSpacing/>
        <w:rPr>
          <w:b/>
          <w:color w:val="4E5612"/>
          <w:sz w:val="25"/>
        </w:rPr>
      </w:pPr>
      <w:r w:rsidRPr="00B864AC">
        <w:rPr>
          <w:b/>
          <w:color w:val="4E5612"/>
          <w:sz w:val="25"/>
        </w:rPr>
        <w:t>Population</w:t>
      </w:r>
    </w:p>
    <w:p w:rsidR="00B5536D" w:rsidRPr="00BB3540" w:rsidRDefault="00B5536D" w:rsidP="00764386">
      <w:pPr>
        <w:spacing w:line="240" w:lineRule="auto"/>
        <w:contextualSpacing/>
      </w:pPr>
      <w:r w:rsidRPr="00BB3540">
        <w:t>According to the 2010 United Census report, Saint Anthony, Idaho had a population of 3,542 with a population increase of 6.0% since 2000.</w:t>
      </w:r>
      <w:r w:rsidRPr="00BB3540">
        <w:rPr>
          <w:rStyle w:val="FootnoteReference"/>
        </w:rPr>
        <w:footnoteReference w:id="77"/>
      </w:r>
    </w:p>
    <w:p w:rsidR="00B85456" w:rsidRDefault="00B85456"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t>Age</w:t>
      </w:r>
    </w:p>
    <w:p w:rsidR="00B5536D" w:rsidRPr="00BB3540" w:rsidRDefault="00B5536D" w:rsidP="00764386">
      <w:pPr>
        <w:spacing w:line="240" w:lineRule="auto"/>
        <w:contextualSpacing/>
      </w:pPr>
      <w:r w:rsidRPr="00BB3540">
        <w:t xml:space="preserve">Saint Anthony, Idaho had a median age of 29.8 years. Below is the age breakdown of the city population. The age group that makes up the biggest portion of the population is age 9 and under. </w:t>
      </w:r>
    </w:p>
    <w:p w:rsidR="00B5536D" w:rsidRPr="00BB3540" w:rsidRDefault="00B5536D" w:rsidP="00764386">
      <w:pPr>
        <w:spacing w:line="240" w:lineRule="auto"/>
        <w:contextualSpacing/>
      </w:pPr>
    </w:p>
    <w:tbl>
      <w:tblPr>
        <w:tblW w:w="2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060"/>
      </w:tblGrid>
      <w:tr w:rsidR="00B5536D" w:rsidRPr="00BB3540" w:rsidTr="00355BC6">
        <w:trPr>
          <w:trHeight w:val="240"/>
          <w:jc w:val="center"/>
        </w:trPr>
        <w:tc>
          <w:tcPr>
            <w:tcW w:w="2120" w:type="dxa"/>
            <w:gridSpan w:val="2"/>
            <w:shd w:val="clear" w:color="auto" w:fill="auto"/>
            <w:noWrap/>
            <w:vAlign w:val="bottom"/>
          </w:tcPr>
          <w:p w:rsidR="00B5536D" w:rsidRPr="00BB3540" w:rsidRDefault="00B5536D" w:rsidP="00764386">
            <w:pPr>
              <w:spacing w:line="240" w:lineRule="auto"/>
              <w:contextualSpacing/>
              <w:jc w:val="center"/>
              <w:rPr>
                <w:sz w:val="20"/>
                <w:szCs w:val="20"/>
              </w:rPr>
            </w:pPr>
            <w:r w:rsidRPr="00BB3540">
              <w:rPr>
                <w:sz w:val="20"/>
                <w:szCs w:val="20"/>
              </w:rPr>
              <w:t>Saint Anthony</w:t>
            </w:r>
          </w:p>
        </w:tc>
      </w:tr>
      <w:tr w:rsidR="00B5536D" w:rsidRPr="00BB3540" w:rsidTr="00355BC6">
        <w:trPr>
          <w:trHeight w:val="240"/>
          <w:jc w:val="center"/>
        </w:trPr>
        <w:tc>
          <w:tcPr>
            <w:tcW w:w="1060" w:type="dxa"/>
            <w:shd w:val="clear" w:color="auto" w:fill="auto"/>
            <w:noWrap/>
            <w:vAlign w:val="bottom"/>
          </w:tcPr>
          <w:p w:rsidR="00B5536D" w:rsidRPr="00BB3540" w:rsidRDefault="00B5536D" w:rsidP="00764386">
            <w:pPr>
              <w:spacing w:line="240" w:lineRule="auto"/>
              <w:contextualSpacing/>
              <w:rPr>
                <w:sz w:val="20"/>
                <w:szCs w:val="20"/>
              </w:rPr>
            </w:pPr>
            <w:r w:rsidRPr="00BB3540">
              <w:rPr>
                <w:sz w:val="20"/>
                <w:szCs w:val="20"/>
              </w:rPr>
              <w:t>Age</w:t>
            </w:r>
          </w:p>
        </w:tc>
        <w:tc>
          <w:tcPr>
            <w:tcW w:w="1060" w:type="dxa"/>
            <w:shd w:val="clear" w:color="auto" w:fill="auto"/>
            <w:noWrap/>
            <w:vAlign w:val="bottom"/>
          </w:tcPr>
          <w:p w:rsidR="00B5536D" w:rsidRPr="00BB3540" w:rsidRDefault="00B5536D" w:rsidP="00764386">
            <w:pPr>
              <w:spacing w:line="240" w:lineRule="auto"/>
              <w:contextualSpacing/>
              <w:rPr>
                <w:sz w:val="20"/>
                <w:szCs w:val="20"/>
              </w:rPr>
            </w:pPr>
            <w:r w:rsidRPr="00BB3540">
              <w:rPr>
                <w:sz w:val="20"/>
                <w:szCs w:val="20"/>
              </w:rPr>
              <w:t>Number</w:t>
            </w:r>
          </w:p>
        </w:tc>
      </w:tr>
      <w:tr w:rsidR="00B5536D" w:rsidRPr="00BB3540" w:rsidTr="00355BC6">
        <w:trPr>
          <w:trHeight w:val="240"/>
          <w:jc w:val="center"/>
        </w:trPr>
        <w:tc>
          <w:tcPr>
            <w:tcW w:w="1060" w:type="dxa"/>
            <w:shd w:val="clear" w:color="auto" w:fill="auto"/>
            <w:noWrap/>
            <w:vAlign w:val="bottom"/>
          </w:tcPr>
          <w:p w:rsidR="00B5536D" w:rsidRPr="00BB3540" w:rsidRDefault="00B5536D" w:rsidP="00764386">
            <w:pPr>
              <w:spacing w:line="240" w:lineRule="auto"/>
              <w:contextualSpacing/>
              <w:rPr>
                <w:sz w:val="20"/>
                <w:szCs w:val="20"/>
              </w:rPr>
            </w:pPr>
            <w:r w:rsidRPr="00BB3540">
              <w:rPr>
                <w:sz w:val="20"/>
                <w:szCs w:val="20"/>
              </w:rPr>
              <w:t>Under 9</w:t>
            </w:r>
          </w:p>
        </w:tc>
        <w:tc>
          <w:tcPr>
            <w:tcW w:w="1060" w:type="dxa"/>
            <w:shd w:val="clear" w:color="auto" w:fill="auto"/>
            <w:noWrap/>
            <w:vAlign w:val="bottom"/>
          </w:tcPr>
          <w:p w:rsidR="00B5536D" w:rsidRPr="00BB3540" w:rsidRDefault="00B5536D" w:rsidP="00764386">
            <w:pPr>
              <w:spacing w:line="240" w:lineRule="auto"/>
              <w:contextualSpacing/>
              <w:jc w:val="right"/>
              <w:rPr>
                <w:sz w:val="20"/>
                <w:szCs w:val="20"/>
              </w:rPr>
            </w:pPr>
            <w:r w:rsidRPr="00BB3540">
              <w:rPr>
                <w:sz w:val="20"/>
                <w:szCs w:val="20"/>
              </w:rPr>
              <w:t>698</w:t>
            </w:r>
          </w:p>
        </w:tc>
      </w:tr>
      <w:tr w:rsidR="00B5536D" w:rsidRPr="00BB3540" w:rsidTr="00355BC6">
        <w:trPr>
          <w:trHeight w:val="240"/>
          <w:jc w:val="center"/>
        </w:trPr>
        <w:tc>
          <w:tcPr>
            <w:tcW w:w="1060" w:type="dxa"/>
            <w:shd w:val="clear" w:color="auto" w:fill="auto"/>
            <w:noWrap/>
            <w:vAlign w:val="bottom"/>
          </w:tcPr>
          <w:p w:rsidR="00B5536D" w:rsidRPr="00BB3540" w:rsidRDefault="00B5536D" w:rsidP="00764386">
            <w:pPr>
              <w:spacing w:line="240" w:lineRule="auto"/>
              <w:contextualSpacing/>
              <w:rPr>
                <w:sz w:val="20"/>
                <w:szCs w:val="20"/>
              </w:rPr>
            </w:pPr>
            <w:r w:rsidRPr="00BB3540">
              <w:rPr>
                <w:sz w:val="20"/>
                <w:szCs w:val="20"/>
              </w:rPr>
              <w:t>10-19</w:t>
            </w:r>
          </w:p>
        </w:tc>
        <w:tc>
          <w:tcPr>
            <w:tcW w:w="1060" w:type="dxa"/>
            <w:shd w:val="clear" w:color="auto" w:fill="auto"/>
            <w:noWrap/>
            <w:vAlign w:val="bottom"/>
          </w:tcPr>
          <w:p w:rsidR="00B5536D" w:rsidRPr="00BB3540" w:rsidRDefault="00B5536D" w:rsidP="00764386">
            <w:pPr>
              <w:spacing w:line="240" w:lineRule="auto"/>
              <w:contextualSpacing/>
              <w:jc w:val="right"/>
              <w:rPr>
                <w:sz w:val="20"/>
                <w:szCs w:val="20"/>
              </w:rPr>
            </w:pPr>
            <w:r w:rsidRPr="00BB3540">
              <w:rPr>
                <w:sz w:val="20"/>
                <w:szCs w:val="20"/>
              </w:rPr>
              <w:t>521</w:t>
            </w:r>
          </w:p>
        </w:tc>
      </w:tr>
      <w:tr w:rsidR="00B5536D" w:rsidRPr="00BB3540" w:rsidTr="00355BC6">
        <w:trPr>
          <w:trHeight w:val="240"/>
          <w:jc w:val="center"/>
        </w:trPr>
        <w:tc>
          <w:tcPr>
            <w:tcW w:w="1060" w:type="dxa"/>
            <w:shd w:val="clear" w:color="auto" w:fill="auto"/>
            <w:noWrap/>
            <w:vAlign w:val="bottom"/>
          </w:tcPr>
          <w:p w:rsidR="00B5536D" w:rsidRPr="00BB3540" w:rsidRDefault="00B5536D" w:rsidP="00764386">
            <w:pPr>
              <w:spacing w:line="240" w:lineRule="auto"/>
              <w:contextualSpacing/>
              <w:rPr>
                <w:sz w:val="20"/>
                <w:szCs w:val="20"/>
              </w:rPr>
            </w:pPr>
            <w:r w:rsidRPr="00BB3540">
              <w:rPr>
                <w:sz w:val="20"/>
                <w:szCs w:val="20"/>
              </w:rPr>
              <w:t>20-29</w:t>
            </w:r>
          </w:p>
        </w:tc>
        <w:tc>
          <w:tcPr>
            <w:tcW w:w="1060" w:type="dxa"/>
            <w:shd w:val="clear" w:color="auto" w:fill="auto"/>
            <w:noWrap/>
            <w:vAlign w:val="bottom"/>
          </w:tcPr>
          <w:p w:rsidR="00B5536D" w:rsidRPr="00BB3540" w:rsidRDefault="00B5536D" w:rsidP="00764386">
            <w:pPr>
              <w:spacing w:line="240" w:lineRule="auto"/>
              <w:contextualSpacing/>
              <w:jc w:val="right"/>
              <w:rPr>
                <w:sz w:val="20"/>
                <w:szCs w:val="20"/>
              </w:rPr>
            </w:pPr>
            <w:r w:rsidRPr="00BB3540">
              <w:rPr>
                <w:sz w:val="20"/>
                <w:szCs w:val="20"/>
              </w:rPr>
              <w:t>565</w:t>
            </w:r>
          </w:p>
        </w:tc>
      </w:tr>
      <w:tr w:rsidR="00B5536D" w:rsidRPr="00BB3540" w:rsidTr="00355BC6">
        <w:trPr>
          <w:trHeight w:val="240"/>
          <w:jc w:val="center"/>
        </w:trPr>
        <w:tc>
          <w:tcPr>
            <w:tcW w:w="1060" w:type="dxa"/>
            <w:shd w:val="clear" w:color="auto" w:fill="auto"/>
            <w:noWrap/>
            <w:vAlign w:val="bottom"/>
          </w:tcPr>
          <w:p w:rsidR="00B5536D" w:rsidRPr="00BB3540" w:rsidRDefault="00B5536D" w:rsidP="00764386">
            <w:pPr>
              <w:spacing w:line="240" w:lineRule="auto"/>
              <w:contextualSpacing/>
              <w:rPr>
                <w:sz w:val="20"/>
                <w:szCs w:val="20"/>
              </w:rPr>
            </w:pPr>
            <w:r w:rsidRPr="00BB3540">
              <w:rPr>
                <w:sz w:val="20"/>
                <w:szCs w:val="20"/>
              </w:rPr>
              <w:t>30-39</w:t>
            </w:r>
          </w:p>
        </w:tc>
        <w:tc>
          <w:tcPr>
            <w:tcW w:w="1060" w:type="dxa"/>
            <w:shd w:val="clear" w:color="auto" w:fill="auto"/>
            <w:noWrap/>
            <w:vAlign w:val="bottom"/>
          </w:tcPr>
          <w:p w:rsidR="00B5536D" w:rsidRPr="00BB3540" w:rsidRDefault="00B5536D" w:rsidP="00764386">
            <w:pPr>
              <w:spacing w:line="240" w:lineRule="auto"/>
              <w:contextualSpacing/>
              <w:jc w:val="right"/>
              <w:rPr>
                <w:sz w:val="20"/>
                <w:szCs w:val="20"/>
              </w:rPr>
            </w:pPr>
            <w:r w:rsidRPr="00BB3540">
              <w:rPr>
                <w:sz w:val="20"/>
                <w:szCs w:val="20"/>
              </w:rPr>
              <w:t>464</w:t>
            </w:r>
          </w:p>
        </w:tc>
      </w:tr>
      <w:tr w:rsidR="00B5536D" w:rsidRPr="00BB3540" w:rsidTr="00355BC6">
        <w:trPr>
          <w:trHeight w:val="240"/>
          <w:jc w:val="center"/>
        </w:trPr>
        <w:tc>
          <w:tcPr>
            <w:tcW w:w="1060" w:type="dxa"/>
            <w:shd w:val="clear" w:color="auto" w:fill="auto"/>
            <w:noWrap/>
            <w:vAlign w:val="bottom"/>
          </w:tcPr>
          <w:p w:rsidR="00B5536D" w:rsidRPr="00BB3540" w:rsidRDefault="00B5536D" w:rsidP="00764386">
            <w:pPr>
              <w:spacing w:line="240" w:lineRule="auto"/>
              <w:contextualSpacing/>
              <w:rPr>
                <w:sz w:val="20"/>
                <w:szCs w:val="20"/>
              </w:rPr>
            </w:pPr>
            <w:r w:rsidRPr="00BB3540">
              <w:rPr>
                <w:sz w:val="20"/>
                <w:szCs w:val="20"/>
              </w:rPr>
              <w:t>40-49</w:t>
            </w:r>
          </w:p>
        </w:tc>
        <w:tc>
          <w:tcPr>
            <w:tcW w:w="1060" w:type="dxa"/>
            <w:shd w:val="clear" w:color="auto" w:fill="auto"/>
            <w:noWrap/>
            <w:vAlign w:val="bottom"/>
          </w:tcPr>
          <w:p w:rsidR="00B5536D" w:rsidRPr="00BB3540" w:rsidRDefault="00B5536D" w:rsidP="00764386">
            <w:pPr>
              <w:spacing w:line="240" w:lineRule="auto"/>
              <w:contextualSpacing/>
              <w:jc w:val="right"/>
              <w:rPr>
                <w:sz w:val="20"/>
                <w:szCs w:val="20"/>
              </w:rPr>
            </w:pPr>
            <w:r w:rsidRPr="00BB3540">
              <w:rPr>
                <w:sz w:val="20"/>
                <w:szCs w:val="20"/>
              </w:rPr>
              <w:t>407</w:t>
            </w:r>
          </w:p>
        </w:tc>
      </w:tr>
      <w:tr w:rsidR="00B5536D" w:rsidRPr="00BB3540" w:rsidTr="00355BC6">
        <w:trPr>
          <w:trHeight w:val="240"/>
          <w:jc w:val="center"/>
        </w:trPr>
        <w:tc>
          <w:tcPr>
            <w:tcW w:w="1060" w:type="dxa"/>
            <w:shd w:val="clear" w:color="auto" w:fill="auto"/>
            <w:noWrap/>
            <w:vAlign w:val="bottom"/>
          </w:tcPr>
          <w:p w:rsidR="00B5536D" w:rsidRPr="00BB3540" w:rsidRDefault="00B5536D" w:rsidP="00764386">
            <w:pPr>
              <w:spacing w:line="240" w:lineRule="auto"/>
              <w:contextualSpacing/>
              <w:rPr>
                <w:sz w:val="20"/>
                <w:szCs w:val="20"/>
              </w:rPr>
            </w:pPr>
            <w:r w:rsidRPr="00BB3540">
              <w:rPr>
                <w:sz w:val="20"/>
                <w:szCs w:val="20"/>
              </w:rPr>
              <w:t>50-59</w:t>
            </w:r>
          </w:p>
        </w:tc>
        <w:tc>
          <w:tcPr>
            <w:tcW w:w="1060" w:type="dxa"/>
            <w:shd w:val="clear" w:color="auto" w:fill="auto"/>
            <w:noWrap/>
            <w:vAlign w:val="bottom"/>
          </w:tcPr>
          <w:p w:rsidR="00B5536D" w:rsidRPr="00BB3540" w:rsidRDefault="00B5536D" w:rsidP="00764386">
            <w:pPr>
              <w:spacing w:line="240" w:lineRule="auto"/>
              <w:contextualSpacing/>
              <w:jc w:val="right"/>
              <w:rPr>
                <w:sz w:val="20"/>
                <w:szCs w:val="20"/>
              </w:rPr>
            </w:pPr>
            <w:r w:rsidRPr="00BB3540">
              <w:rPr>
                <w:sz w:val="20"/>
                <w:szCs w:val="20"/>
              </w:rPr>
              <w:t>378</w:t>
            </w:r>
          </w:p>
        </w:tc>
      </w:tr>
      <w:tr w:rsidR="00B5536D" w:rsidRPr="00BB3540" w:rsidTr="00355BC6">
        <w:trPr>
          <w:trHeight w:val="240"/>
          <w:jc w:val="center"/>
        </w:trPr>
        <w:tc>
          <w:tcPr>
            <w:tcW w:w="1060" w:type="dxa"/>
            <w:shd w:val="clear" w:color="auto" w:fill="auto"/>
            <w:noWrap/>
            <w:vAlign w:val="bottom"/>
          </w:tcPr>
          <w:p w:rsidR="00B5536D" w:rsidRPr="00BB3540" w:rsidRDefault="00B5536D" w:rsidP="00764386">
            <w:pPr>
              <w:spacing w:line="240" w:lineRule="auto"/>
              <w:contextualSpacing/>
              <w:rPr>
                <w:sz w:val="20"/>
                <w:szCs w:val="20"/>
              </w:rPr>
            </w:pPr>
            <w:r w:rsidRPr="00BB3540">
              <w:rPr>
                <w:sz w:val="20"/>
                <w:szCs w:val="20"/>
              </w:rPr>
              <w:t>60-69</w:t>
            </w:r>
          </w:p>
        </w:tc>
        <w:tc>
          <w:tcPr>
            <w:tcW w:w="1060" w:type="dxa"/>
            <w:shd w:val="clear" w:color="auto" w:fill="auto"/>
            <w:noWrap/>
            <w:vAlign w:val="bottom"/>
          </w:tcPr>
          <w:p w:rsidR="00B5536D" w:rsidRPr="00BB3540" w:rsidRDefault="00B5536D" w:rsidP="00764386">
            <w:pPr>
              <w:spacing w:line="240" w:lineRule="auto"/>
              <w:contextualSpacing/>
              <w:jc w:val="right"/>
              <w:rPr>
                <w:sz w:val="20"/>
                <w:szCs w:val="20"/>
              </w:rPr>
            </w:pPr>
            <w:r w:rsidRPr="00BB3540">
              <w:rPr>
                <w:sz w:val="20"/>
                <w:szCs w:val="20"/>
              </w:rPr>
              <w:t>269</w:t>
            </w:r>
          </w:p>
        </w:tc>
      </w:tr>
      <w:tr w:rsidR="00B5536D" w:rsidRPr="00BB3540" w:rsidTr="00355BC6">
        <w:trPr>
          <w:trHeight w:val="240"/>
          <w:jc w:val="center"/>
        </w:trPr>
        <w:tc>
          <w:tcPr>
            <w:tcW w:w="1060" w:type="dxa"/>
            <w:shd w:val="clear" w:color="auto" w:fill="auto"/>
            <w:noWrap/>
            <w:vAlign w:val="bottom"/>
          </w:tcPr>
          <w:p w:rsidR="00B5536D" w:rsidRPr="00BB3540" w:rsidRDefault="00B5536D" w:rsidP="00764386">
            <w:pPr>
              <w:spacing w:line="240" w:lineRule="auto"/>
              <w:contextualSpacing/>
              <w:rPr>
                <w:sz w:val="20"/>
                <w:szCs w:val="20"/>
              </w:rPr>
            </w:pPr>
            <w:r w:rsidRPr="00BB3540">
              <w:rPr>
                <w:sz w:val="20"/>
                <w:szCs w:val="20"/>
              </w:rPr>
              <w:t>70-79</w:t>
            </w:r>
          </w:p>
        </w:tc>
        <w:tc>
          <w:tcPr>
            <w:tcW w:w="1060" w:type="dxa"/>
            <w:shd w:val="clear" w:color="auto" w:fill="auto"/>
            <w:noWrap/>
            <w:vAlign w:val="bottom"/>
          </w:tcPr>
          <w:p w:rsidR="00B5536D" w:rsidRPr="00BB3540" w:rsidRDefault="00B5536D" w:rsidP="00764386">
            <w:pPr>
              <w:spacing w:line="240" w:lineRule="auto"/>
              <w:contextualSpacing/>
              <w:jc w:val="right"/>
              <w:rPr>
                <w:sz w:val="20"/>
                <w:szCs w:val="20"/>
              </w:rPr>
            </w:pPr>
            <w:r w:rsidRPr="00BB3540">
              <w:rPr>
                <w:sz w:val="20"/>
                <w:szCs w:val="20"/>
              </w:rPr>
              <w:t>152</w:t>
            </w:r>
          </w:p>
        </w:tc>
      </w:tr>
      <w:tr w:rsidR="00B5536D" w:rsidRPr="00BB3540" w:rsidTr="00355BC6">
        <w:trPr>
          <w:trHeight w:val="240"/>
          <w:jc w:val="center"/>
        </w:trPr>
        <w:tc>
          <w:tcPr>
            <w:tcW w:w="1060" w:type="dxa"/>
            <w:shd w:val="clear" w:color="auto" w:fill="auto"/>
            <w:noWrap/>
            <w:vAlign w:val="bottom"/>
          </w:tcPr>
          <w:p w:rsidR="00B5536D" w:rsidRPr="00BB3540" w:rsidRDefault="00B5536D" w:rsidP="00764386">
            <w:pPr>
              <w:spacing w:line="240" w:lineRule="auto"/>
              <w:contextualSpacing/>
              <w:rPr>
                <w:sz w:val="20"/>
                <w:szCs w:val="20"/>
              </w:rPr>
            </w:pPr>
            <w:r w:rsidRPr="00BB3540">
              <w:rPr>
                <w:sz w:val="20"/>
                <w:szCs w:val="20"/>
              </w:rPr>
              <w:t>Over 80</w:t>
            </w:r>
          </w:p>
        </w:tc>
        <w:tc>
          <w:tcPr>
            <w:tcW w:w="1060" w:type="dxa"/>
            <w:shd w:val="clear" w:color="auto" w:fill="auto"/>
            <w:noWrap/>
            <w:vAlign w:val="bottom"/>
          </w:tcPr>
          <w:p w:rsidR="00B5536D" w:rsidRPr="00BB3540" w:rsidRDefault="00B5536D" w:rsidP="00EE571F">
            <w:pPr>
              <w:keepNext/>
              <w:spacing w:line="240" w:lineRule="auto"/>
              <w:contextualSpacing/>
              <w:jc w:val="right"/>
              <w:rPr>
                <w:sz w:val="20"/>
                <w:szCs w:val="20"/>
              </w:rPr>
            </w:pPr>
            <w:r w:rsidRPr="00BB3540">
              <w:rPr>
                <w:sz w:val="20"/>
                <w:szCs w:val="20"/>
              </w:rPr>
              <w:t>98</w:t>
            </w:r>
          </w:p>
        </w:tc>
      </w:tr>
    </w:tbl>
    <w:p w:rsidR="00B85456" w:rsidRDefault="00EE571F" w:rsidP="00EE571F">
      <w:pPr>
        <w:pStyle w:val="Caption"/>
        <w:rPr>
          <w:b w:val="0"/>
          <w:color w:val="4E5612"/>
          <w:sz w:val="25"/>
        </w:rPr>
      </w:pPr>
      <w:r>
        <w:tab/>
      </w:r>
      <w:r>
        <w:tab/>
      </w:r>
      <w:r>
        <w:tab/>
      </w:r>
      <w:r>
        <w:tab/>
      </w:r>
      <w:r>
        <w:tab/>
        <w:t xml:space="preserve">Figure </w:t>
      </w:r>
      <w:fldSimple w:instr=" SEQ Figure \* ARABIC ">
        <w:r w:rsidR="00707511">
          <w:rPr>
            <w:noProof/>
          </w:rPr>
          <w:t>51</w:t>
        </w:r>
      </w:fldSimple>
    </w:p>
    <w:p w:rsidR="00B5536D" w:rsidRPr="00B864AC" w:rsidRDefault="00B5536D" w:rsidP="00764386">
      <w:pPr>
        <w:spacing w:line="240" w:lineRule="auto"/>
        <w:contextualSpacing/>
        <w:rPr>
          <w:b/>
          <w:color w:val="4E5612"/>
          <w:sz w:val="25"/>
        </w:rPr>
      </w:pPr>
      <w:r w:rsidRPr="00B864AC">
        <w:rPr>
          <w:b/>
          <w:color w:val="4E5612"/>
          <w:sz w:val="25"/>
        </w:rPr>
        <w:t>Employment</w:t>
      </w:r>
    </w:p>
    <w:p w:rsidR="00B5536D" w:rsidRPr="00BB3540" w:rsidRDefault="00B5536D" w:rsidP="00764386">
      <w:pPr>
        <w:spacing w:line="240" w:lineRule="auto"/>
        <w:contextualSpacing/>
      </w:pPr>
      <w:r w:rsidRPr="00BB3540">
        <w:t>Of the 3,542 people residing in Saint Anthony, 2,413 (or 68.1%) are over the age of 16.</w:t>
      </w:r>
      <w:r w:rsidRPr="00BB3540">
        <w:rPr>
          <w:rStyle w:val="FootnoteReference"/>
        </w:rPr>
        <w:footnoteReference w:id="78"/>
      </w:r>
      <w:r w:rsidRPr="00BB3540">
        <w:t xml:space="preserve"> The number employed is 1,602 with 126 unemployed. </w:t>
      </w:r>
      <w:r w:rsidRPr="00BB3540">
        <w:rPr>
          <w:rStyle w:val="FootnoteReference"/>
          <w:color w:val="FFFFFF" w:themeColor="background1"/>
        </w:rPr>
        <w:footnoteReference w:id="79"/>
      </w:r>
      <w:r w:rsidRPr="00BB3540">
        <w:t>The average commute time to the place of employment is 19.0 minutes.</w:t>
      </w:r>
    </w:p>
    <w:p w:rsidR="00B85456" w:rsidRDefault="00B85456"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t>Income</w:t>
      </w:r>
    </w:p>
    <w:p w:rsidR="00B5536D" w:rsidRDefault="00B5536D" w:rsidP="00764386">
      <w:pPr>
        <w:spacing w:line="240" w:lineRule="auto"/>
        <w:contextualSpacing/>
      </w:pPr>
      <w:r w:rsidRPr="00BB3540">
        <w:t>The largest segment of the population (38.3%) in St. Anthony is those making between $25,000 and $49,999 a year. The median income is $38,395 with a mean of 44,603.</w:t>
      </w:r>
      <w:r w:rsidRPr="00BB3540">
        <w:rPr>
          <w:rStyle w:val="FootnoteReference"/>
        </w:rPr>
        <w:footnoteReference w:id="80"/>
      </w:r>
    </w:p>
    <w:p w:rsidR="00355BC6" w:rsidRPr="00BB3540" w:rsidRDefault="00355BC6" w:rsidP="00764386">
      <w:pPr>
        <w:spacing w:line="240" w:lineRule="auto"/>
        <w:contextualSpacing/>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98"/>
        <w:gridCol w:w="2700"/>
        <w:gridCol w:w="3978"/>
      </w:tblGrid>
      <w:tr w:rsidR="00B5536D" w:rsidRPr="00BB3540" w:rsidTr="00355BC6">
        <w:tc>
          <w:tcPr>
            <w:tcW w:w="2898" w:type="dxa"/>
          </w:tcPr>
          <w:p w:rsidR="00B5536D" w:rsidRPr="00BB3540" w:rsidRDefault="00B5536D" w:rsidP="00764386">
            <w:pPr>
              <w:contextualSpacing/>
              <w:rPr>
                <w:rFonts w:ascii="Garamond" w:hAnsi="Garamond"/>
                <w:b/>
              </w:rPr>
            </w:pPr>
            <w:r w:rsidRPr="00BB3540">
              <w:rPr>
                <w:rFonts w:ascii="Garamond" w:hAnsi="Garamond"/>
                <w:b/>
              </w:rPr>
              <w:t>Income</w:t>
            </w:r>
          </w:p>
        </w:tc>
        <w:tc>
          <w:tcPr>
            <w:tcW w:w="2700" w:type="dxa"/>
          </w:tcPr>
          <w:p w:rsidR="00B5536D" w:rsidRPr="00BB3540" w:rsidRDefault="00B5536D" w:rsidP="00764386">
            <w:pPr>
              <w:contextualSpacing/>
              <w:jc w:val="center"/>
              <w:rPr>
                <w:rFonts w:ascii="Garamond" w:hAnsi="Garamond"/>
                <w:b/>
              </w:rPr>
            </w:pPr>
            <w:r w:rsidRPr="00BB3540">
              <w:rPr>
                <w:rFonts w:ascii="Garamond" w:hAnsi="Garamond"/>
                <w:b/>
              </w:rPr>
              <w:t>Households</w:t>
            </w:r>
          </w:p>
        </w:tc>
        <w:tc>
          <w:tcPr>
            <w:tcW w:w="3978" w:type="dxa"/>
          </w:tcPr>
          <w:p w:rsidR="00B5536D" w:rsidRPr="00BB3540" w:rsidRDefault="00B5536D" w:rsidP="00764386">
            <w:pPr>
              <w:contextualSpacing/>
              <w:jc w:val="center"/>
              <w:rPr>
                <w:rFonts w:ascii="Garamond" w:hAnsi="Garamond"/>
                <w:b/>
              </w:rPr>
            </w:pPr>
            <w:r w:rsidRPr="00BB3540">
              <w:rPr>
                <w:rFonts w:ascii="Garamond" w:hAnsi="Garamond"/>
                <w:b/>
              </w:rPr>
              <w:t>Percentage of Total Households</w:t>
            </w:r>
          </w:p>
        </w:tc>
      </w:tr>
      <w:tr w:rsidR="00B5536D" w:rsidRPr="00BB3540" w:rsidTr="00355BC6">
        <w:tc>
          <w:tcPr>
            <w:tcW w:w="2898" w:type="dxa"/>
          </w:tcPr>
          <w:p w:rsidR="00B5536D" w:rsidRPr="00BB3540" w:rsidRDefault="00B5536D" w:rsidP="00764386">
            <w:pPr>
              <w:contextualSpacing/>
              <w:rPr>
                <w:rFonts w:ascii="Garamond" w:hAnsi="Garamond"/>
              </w:rPr>
            </w:pPr>
            <w:r w:rsidRPr="00BB3540">
              <w:rPr>
                <w:rFonts w:ascii="Garamond" w:hAnsi="Garamond"/>
              </w:rPr>
              <w:t>$0 to 9,999</w:t>
            </w:r>
          </w:p>
        </w:tc>
        <w:tc>
          <w:tcPr>
            <w:tcW w:w="2700" w:type="dxa"/>
          </w:tcPr>
          <w:p w:rsidR="00B5536D" w:rsidRPr="00BB3540" w:rsidRDefault="00B5536D" w:rsidP="00764386">
            <w:pPr>
              <w:contextualSpacing/>
              <w:jc w:val="center"/>
              <w:rPr>
                <w:rFonts w:ascii="Garamond" w:hAnsi="Garamond"/>
              </w:rPr>
            </w:pPr>
            <w:r w:rsidRPr="00BB3540">
              <w:rPr>
                <w:rFonts w:ascii="Garamond" w:hAnsi="Garamond"/>
              </w:rPr>
              <w:t>109</w:t>
            </w:r>
          </w:p>
        </w:tc>
        <w:tc>
          <w:tcPr>
            <w:tcW w:w="3978" w:type="dxa"/>
          </w:tcPr>
          <w:p w:rsidR="00B5536D" w:rsidRPr="00BB3540" w:rsidRDefault="00B5536D" w:rsidP="00764386">
            <w:pPr>
              <w:contextualSpacing/>
              <w:jc w:val="center"/>
              <w:rPr>
                <w:rFonts w:ascii="Garamond" w:hAnsi="Garamond"/>
              </w:rPr>
            </w:pPr>
            <w:r w:rsidRPr="00BB3540">
              <w:rPr>
                <w:rFonts w:ascii="Garamond" w:hAnsi="Garamond"/>
              </w:rPr>
              <w:t>8.8%</w:t>
            </w:r>
          </w:p>
        </w:tc>
      </w:tr>
      <w:tr w:rsidR="00B5536D" w:rsidRPr="00BB3540" w:rsidTr="00355BC6">
        <w:tc>
          <w:tcPr>
            <w:tcW w:w="2898" w:type="dxa"/>
          </w:tcPr>
          <w:p w:rsidR="00B5536D" w:rsidRPr="00BB3540" w:rsidRDefault="00B5536D" w:rsidP="00764386">
            <w:pPr>
              <w:contextualSpacing/>
              <w:rPr>
                <w:rFonts w:ascii="Garamond" w:hAnsi="Garamond"/>
              </w:rPr>
            </w:pPr>
            <w:r w:rsidRPr="00BB3540">
              <w:rPr>
                <w:rFonts w:ascii="Garamond" w:hAnsi="Garamond"/>
              </w:rPr>
              <w:t>$10,000 to $24,999</w:t>
            </w:r>
          </w:p>
        </w:tc>
        <w:tc>
          <w:tcPr>
            <w:tcW w:w="2700" w:type="dxa"/>
          </w:tcPr>
          <w:p w:rsidR="00B5536D" w:rsidRPr="00BB3540" w:rsidRDefault="00B5536D" w:rsidP="00764386">
            <w:pPr>
              <w:contextualSpacing/>
              <w:jc w:val="center"/>
              <w:rPr>
                <w:rFonts w:ascii="Garamond" w:hAnsi="Garamond"/>
              </w:rPr>
            </w:pPr>
            <w:r w:rsidRPr="00BB3540">
              <w:rPr>
                <w:rFonts w:ascii="Garamond" w:hAnsi="Garamond"/>
              </w:rPr>
              <w:t>229</w:t>
            </w:r>
          </w:p>
        </w:tc>
        <w:tc>
          <w:tcPr>
            <w:tcW w:w="3978" w:type="dxa"/>
          </w:tcPr>
          <w:p w:rsidR="00B5536D" w:rsidRPr="00BB3540" w:rsidRDefault="00B5536D" w:rsidP="00764386">
            <w:pPr>
              <w:contextualSpacing/>
              <w:jc w:val="center"/>
              <w:rPr>
                <w:rFonts w:ascii="Garamond" w:hAnsi="Garamond"/>
              </w:rPr>
            </w:pPr>
            <w:r w:rsidRPr="00BB3540">
              <w:rPr>
                <w:rFonts w:ascii="Garamond" w:hAnsi="Garamond"/>
              </w:rPr>
              <w:t>18.6%</w:t>
            </w:r>
          </w:p>
        </w:tc>
      </w:tr>
      <w:tr w:rsidR="00B5536D" w:rsidRPr="00BB3540" w:rsidTr="00355BC6">
        <w:tc>
          <w:tcPr>
            <w:tcW w:w="2898" w:type="dxa"/>
          </w:tcPr>
          <w:p w:rsidR="00B5536D" w:rsidRPr="00BB3540" w:rsidRDefault="00B5536D" w:rsidP="00764386">
            <w:pPr>
              <w:contextualSpacing/>
              <w:rPr>
                <w:rFonts w:ascii="Garamond" w:hAnsi="Garamond"/>
              </w:rPr>
            </w:pPr>
            <w:r w:rsidRPr="00BB3540">
              <w:rPr>
                <w:rFonts w:ascii="Garamond" w:hAnsi="Garamond"/>
              </w:rPr>
              <w:t>$25,000 to $49,999</w:t>
            </w:r>
          </w:p>
        </w:tc>
        <w:tc>
          <w:tcPr>
            <w:tcW w:w="2700" w:type="dxa"/>
          </w:tcPr>
          <w:p w:rsidR="00B5536D" w:rsidRPr="00BB3540" w:rsidRDefault="00B5536D" w:rsidP="00764386">
            <w:pPr>
              <w:contextualSpacing/>
              <w:jc w:val="center"/>
              <w:rPr>
                <w:rFonts w:ascii="Garamond" w:hAnsi="Garamond"/>
              </w:rPr>
            </w:pPr>
            <w:r w:rsidRPr="00BB3540">
              <w:rPr>
                <w:rFonts w:ascii="Garamond" w:hAnsi="Garamond"/>
              </w:rPr>
              <w:t>472</w:t>
            </w:r>
          </w:p>
        </w:tc>
        <w:tc>
          <w:tcPr>
            <w:tcW w:w="3978" w:type="dxa"/>
          </w:tcPr>
          <w:p w:rsidR="00B5536D" w:rsidRPr="00BB3540" w:rsidRDefault="00B5536D" w:rsidP="00764386">
            <w:pPr>
              <w:contextualSpacing/>
              <w:jc w:val="center"/>
              <w:rPr>
                <w:rFonts w:ascii="Garamond" w:hAnsi="Garamond"/>
              </w:rPr>
            </w:pPr>
            <w:r w:rsidRPr="00BB3540">
              <w:rPr>
                <w:rFonts w:ascii="Garamond" w:hAnsi="Garamond"/>
              </w:rPr>
              <w:t>38.3%</w:t>
            </w:r>
          </w:p>
        </w:tc>
      </w:tr>
      <w:tr w:rsidR="00B5536D" w:rsidRPr="00BB3540" w:rsidTr="00355BC6">
        <w:tc>
          <w:tcPr>
            <w:tcW w:w="2898" w:type="dxa"/>
          </w:tcPr>
          <w:p w:rsidR="00B5536D" w:rsidRPr="00BB3540" w:rsidRDefault="00B5536D" w:rsidP="00764386">
            <w:pPr>
              <w:contextualSpacing/>
              <w:rPr>
                <w:rFonts w:ascii="Garamond" w:hAnsi="Garamond"/>
              </w:rPr>
            </w:pPr>
            <w:r w:rsidRPr="00BB3540">
              <w:rPr>
                <w:rFonts w:ascii="Garamond" w:hAnsi="Garamond"/>
              </w:rPr>
              <w:t>$50,000 to $74,999</w:t>
            </w:r>
          </w:p>
        </w:tc>
        <w:tc>
          <w:tcPr>
            <w:tcW w:w="2700" w:type="dxa"/>
          </w:tcPr>
          <w:p w:rsidR="00B5536D" w:rsidRPr="00BB3540" w:rsidRDefault="00B5536D" w:rsidP="00764386">
            <w:pPr>
              <w:contextualSpacing/>
              <w:jc w:val="center"/>
              <w:rPr>
                <w:rFonts w:ascii="Garamond" w:hAnsi="Garamond"/>
              </w:rPr>
            </w:pPr>
            <w:r w:rsidRPr="00BB3540">
              <w:rPr>
                <w:rFonts w:ascii="Garamond" w:hAnsi="Garamond"/>
              </w:rPr>
              <w:t>268</w:t>
            </w:r>
          </w:p>
        </w:tc>
        <w:tc>
          <w:tcPr>
            <w:tcW w:w="3978" w:type="dxa"/>
          </w:tcPr>
          <w:p w:rsidR="00B5536D" w:rsidRPr="00BB3540" w:rsidRDefault="00B5536D" w:rsidP="00764386">
            <w:pPr>
              <w:contextualSpacing/>
              <w:jc w:val="center"/>
              <w:rPr>
                <w:rFonts w:ascii="Garamond" w:hAnsi="Garamond"/>
              </w:rPr>
            </w:pPr>
            <w:r w:rsidRPr="00BB3540">
              <w:rPr>
                <w:rFonts w:ascii="Garamond" w:hAnsi="Garamond"/>
              </w:rPr>
              <w:t>21.8%</w:t>
            </w:r>
          </w:p>
        </w:tc>
      </w:tr>
      <w:tr w:rsidR="00B5536D" w:rsidRPr="00BB3540" w:rsidTr="00355BC6">
        <w:tc>
          <w:tcPr>
            <w:tcW w:w="2898" w:type="dxa"/>
          </w:tcPr>
          <w:p w:rsidR="00B5536D" w:rsidRPr="00BB3540" w:rsidRDefault="00B5536D" w:rsidP="00764386">
            <w:pPr>
              <w:contextualSpacing/>
              <w:rPr>
                <w:rFonts w:ascii="Garamond" w:hAnsi="Garamond"/>
              </w:rPr>
            </w:pPr>
            <w:r w:rsidRPr="00BB3540">
              <w:rPr>
                <w:rFonts w:ascii="Garamond" w:hAnsi="Garamond"/>
              </w:rPr>
              <w:t>$75,000 to $99,999</w:t>
            </w:r>
          </w:p>
        </w:tc>
        <w:tc>
          <w:tcPr>
            <w:tcW w:w="2700" w:type="dxa"/>
          </w:tcPr>
          <w:p w:rsidR="00B5536D" w:rsidRPr="00BB3540" w:rsidRDefault="00B5536D" w:rsidP="00764386">
            <w:pPr>
              <w:contextualSpacing/>
              <w:jc w:val="center"/>
              <w:rPr>
                <w:rFonts w:ascii="Garamond" w:hAnsi="Garamond"/>
              </w:rPr>
            </w:pPr>
            <w:r w:rsidRPr="00BB3540">
              <w:rPr>
                <w:rFonts w:ascii="Garamond" w:hAnsi="Garamond"/>
              </w:rPr>
              <w:t>66</w:t>
            </w:r>
          </w:p>
        </w:tc>
        <w:tc>
          <w:tcPr>
            <w:tcW w:w="3978" w:type="dxa"/>
          </w:tcPr>
          <w:p w:rsidR="00B5536D" w:rsidRPr="00BB3540" w:rsidRDefault="00B5536D" w:rsidP="00EE571F">
            <w:pPr>
              <w:keepNext/>
              <w:contextualSpacing/>
              <w:jc w:val="center"/>
              <w:rPr>
                <w:rFonts w:ascii="Garamond" w:hAnsi="Garamond"/>
              </w:rPr>
            </w:pPr>
            <w:r w:rsidRPr="00BB3540">
              <w:rPr>
                <w:rFonts w:ascii="Garamond" w:hAnsi="Garamond"/>
              </w:rPr>
              <w:t>5.4%</w:t>
            </w:r>
          </w:p>
        </w:tc>
      </w:tr>
    </w:tbl>
    <w:p w:rsidR="00B5536D" w:rsidRPr="00BB3540" w:rsidRDefault="00EE571F" w:rsidP="00EE571F">
      <w:pPr>
        <w:pStyle w:val="Caption"/>
        <w:rPr>
          <w:b w:val="0"/>
        </w:rPr>
      </w:pPr>
      <w:r>
        <w:t xml:space="preserve">Figure </w:t>
      </w:r>
      <w:fldSimple w:instr=" SEQ Figure \* ARABIC ">
        <w:r w:rsidR="00707511">
          <w:rPr>
            <w:noProof/>
          </w:rPr>
          <w:t>52</w:t>
        </w:r>
      </w:fldSimple>
    </w:p>
    <w:p w:rsidR="00AA2CEB" w:rsidRDefault="00AA2CEB" w:rsidP="00764386">
      <w:pPr>
        <w:spacing w:line="240" w:lineRule="auto"/>
        <w:contextualSpacing/>
        <w:rPr>
          <w:b/>
          <w:color w:val="4E5612"/>
          <w:sz w:val="25"/>
        </w:rPr>
      </w:pPr>
    </w:p>
    <w:p w:rsidR="00AA2CEB" w:rsidRDefault="00AA2CEB" w:rsidP="00764386">
      <w:pPr>
        <w:spacing w:line="240" w:lineRule="auto"/>
        <w:contextualSpacing/>
        <w:rPr>
          <w:b/>
          <w:color w:val="4E5612"/>
          <w:sz w:val="25"/>
        </w:rPr>
      </w:pPr>
    </w:p>
    <w:p w:rsidR="00B5536D" w:rsidRPr="00B864AC" w:rsidRDefault="00B5536D" w:rsidP="00764386">
      <w:pPr>
        <w:spacing w:line="240" w:lineRule="auto"/>
        <w:contextualSpacing/>
        <w:rPr>
          <w:b/>
          <w:color w:val="4E5612"/>
          <w:sz w:val="25"/>
        </w:rPr>
      </w:pPr>
      <w:r w:rsidRPr="00B864AC">
        <w:rPr>
          <w:b/>
          <w:color w:val="4E5612"/>
          <w:sz w:val="25"/>
        </w:rPr>
        <w:lastRenderedPageBreak/>
        <w:t>Home Value</w:t>
      </w:r>
    </w:p>
    <w:p w:rsidR="00AA2CEB" w:rsidRDefault="00B5536D" w:rsidP="00764386">
      <w:pPr>
        <w:spacing w:line="240" w:lineRule="auto"/>
        <w:contextualSpacing/>
      </w:pPr>
      <w:r w:rsidRPr="00BB3540">
        <w:t>In St. Anthony, 66.7% of the homes are valued at under $100,000 with the median home value being $86,000.</w:t>
      </w:r>
      <w:r w:rsidRPr="00BB3540">
        <w:rPr>
          <w:rStyle w:val="FootnoteReference"/>
        </w:rPr>
        <w:footnoteReference w:id="81"/>
      </w:r>
    </w:p>
    <w:p w:rsidR="00355BC6" w:rsidRPr="00BB3540" w:rsidRDefault="00355BC6" w:rsidP="00764386">
      <w:pPr>
        <w:spacing w:line="240" w:lineRule="auto"/>
        <w:contextualSpacing/>
      </w:pPr>
    </w:p>
    <w:tbl>
      <w:tblPr>
        <w:tblStyle w:val="TableGrid"/>
        <w:tblpPr w:leftFromText="180" w:rightFromText="180" w:vertAnchor="text" w:tblpY="1"/>
        <w:tblOverlap w:val="neve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014"/>
        <w:gridCol w:w="3206"/>
        <w:gridCol w:w="2886"/>
      </w:tblGrid>
      <w:tr w:rsidR="00B5536D" w:rsidRPr="00BB3540" w:rsidTr="00355BC6">
        <w:trPr>
          <w:trHeight w:val="275"/>
        </w:trPr>
        <w:tc>
          <w:tcPr>
            <w:tcW w:w="3014" w:type="dxa"/>
          </w:tcPr>
          <w:p w:rsidR="00B5536D" w:rsidRPr="00BB3540" w:rsidRDefault="00B5536D" w:rsidP="00764386">
            <w:pPr>
              <w:contextualSpacing/>
              <w:rPr>
                <w:rFonts w:ascii="Garamond" w:hAnsi="Garamond"/>
                <w:b/>
              </w:rPr>
            </w:pPr>
            <w:r w:rsidRPr="00BB3540">
              <w:rPr>
                <w:rFonts w:ascii="Garamond" w:hAnsi="Garamond"/>
                <w:b/>
              </w:rPr>
              <w:t>Value</w:t>
            </w:r>
          </w:p>
        </w:tc>
        <w:tc>
          <w:tcPr>
            <w:tcW w:w="3206" w:type="dxa"/>
          </w:tcPr>
          <w:p w:rsidR="00B5536D" w:rsidRPr="00BB3540" w:rsidRDefault="00B5536D" w:rsidP="00764386">
            <w:pPr>
              <w:contextualSpacing/>
              <w:jc w:val="center"/>
              <w:rPr>
                <w:rFonts w:ascii="Garamond" w:hAnsi="Garamond"/>
                <w:b/>
              </w:rPr>
            </w:pPr>
            <w:r w:rsidRPr="00BB3540">
              <w:rPr>
                <w:rFonts w:ascii="Garamond" w:hAnsi="Garamond"/>
                <w:b/>
              </w:rPr>
              <w:t>Owner Occupied Units</w:t>
            </w:r>
          </w:p>
        </w:tc>
        <w:tc>
          <w:tcPr>
            <w:tcW w:w="2886" w:type="dxa"/>
          </w:tcPr>
          <w:p w:rsidR="00B5536D" w:rsidRPr="00BB3540" w:rsidRDefault="00B5536D" w:rsidP="00764386">
            <w:pPr>
              <w:contextualSpacing/>
              <w:jc w:val="center"/>
              <w:rPr>
                <w:rFonts w:ascii="Garamond" w:hAnsi="Garamond"/>
                <w:b/>
              </w:rPr>
            </w:pPr>
            <w:r w:rsidRPr="00BB3540">
              <w:rPr>
                <w:rFonts w:ascii="Garamond" w:hAnsi="Garamond"/>
                <w:b/>
              </w:rPr>
              <w:t>Percentage of Population</w:t>
            </w:r>
          </w:p>
        </w:tc>
      </w:tr>
      <w:tr w:rsidR="00B5536D" w:rsidRPr="00BB3540" w:rsidTr="00355BC6">
        <w:trPr>
          <w:trHeight w:val="275"/>
        </w:trPr>
        <w:tc>
          <w:tcPr>
            <w:tcW w:w="3014" w:type="dxa"/>
          </w:tcPr>
          <w:p w:rsidR="00B5536D" w:rsidRPr="00BB3540" w:rsidRDefault="00B5536D" w:rsidP="00764386">
            <w:pPr>
              <w:contextualSpacing/>
              <w:rPr>
                <w:rFonts w:ascii="Garamond" w:hAnsi="Garamond"/>
              </w:rPr>
            </w:pPr>
            <w:r w:rsidRPr="00BB3540">
              <w:rPr>
                <w:rFonts w:ascii="Garamond" w:hAnsi="Garamond"/>
              </w:rPr>
              <w:t>0 to $49,999</w:t>
            </w:r>
          </w:p>
        </w:tc>
        <w:tc>
          <w:tcPr>
            <w:tcW w:w="3206" w:type="dxa"/>
          </w:tcPr>
          <w:p w:rsidR="00B5536D" w:rsidRPr="00BB3540" w:rsidRDefault="00B5536D" w:rsidP="00764386">
            <w:pPr>
              <w:contextualSpacing/>
              <w:jc w:val="center"/>
              <w:rPr>
                <w:rFonts w:ascii="Garamond" w:hAnsi="Garamond"/>
              </w:rPr>
            </w:pPr>
            <w:r w:rsidRPr="00BB3540">
              <w:rPr>
                <w:rFonts w:ascii="Garamond" w:hAnsi="Garamond"/>
              </w:rPr>
              <w:t>138</w:t>
            </w:r>
          </w:p>
        </w:tc>
        <w:tc>
          <w:tcPr>
            <w:tcW w:w="2886" w:type="dxa"/>
          </w:tcPr>
          <w:p w:rsidR="00B5536D" w:rsidRPr="00BB3540" w:rsidRDefault="00B5536D" w:rsidP="00764386">
            <w:pPr>
              <w:contextualSpacing/>
              <w:jc w:val="center"/>
              <w:rPr>
                <w:rFonts w:ascii="Garamond" w:hAnsi="Garamond"/>
              </w:rPr>
            </w:pPr>
            <w:r w:rsidRPr="00BB3540">
              <w:rPr>
                <w:rFonts w:ascii="Garamond" w:hAnsi="Garamond"/>
              </w:rPr>
              <w:t>16.3%</w:t>
            </w:r>
          </w:p>
        </w:tc>
      </w:tr>
      <w:tr w:rsidR="00B5536D" w:rsidRPr="00BB3540" w:rsidTr="00355BC6">
        <w:trPr>
          <w:trHeight w:val="275"/>
        </w:trPr>
        <w:tc>
          <w:tcPr>
            <w:tcW w:w="3014" w:type="dxa"/>
          </w:tcPr>
          <w:p w:rsidR="00B5536D" w:rsidRPr="00BB3540" w:rsidRDefault="00B5536D" w:rsidP="00764386">
            <w:pPr>
              <w:contextualSpacing/>
              <w:rPr>
                <w:rFonts w:ascii="Garamond" w:hAnsi="Garamond"/>
              </w:rPr>
            </w:pPr>
            <w:r w:rsidRPr="00BB3540">
              <w:rPr>
                <w:rFonts w:ascii="Garamond" w:hAnsi="Garamond"/>
              </w:rPr>
              <w:t>$50,000 to $99,999</w:t>
            </w:r>
          </w:p>
        </w:tc>
        <w:tc>
          <w:tcPr>
            <w:tcW w:w="3206" w:type="dxa"/>
          </w:tcPr>
          <w:p w:rsidR="00B5536D" w:rsidRPr="00BB3540" w:rsidRDefault="00B5536D" w:rsidP="00764386">
            <w:pPr>
              <w:contextualSpacing/>
              <w:jc w:val="center"/>
              <w:rPr>
                <w:rFonts w:ascii="Garamond" w:hAnsi="Garamond"/>
              </w:rPr>
            </w:pPr>
            <w:r w:rsidRPr="00BB3540">
              <w:rPr>
                <w:rFonts w:ascii="Garamond" w:hAnsi="Garamond"/>
              </w:rPr>
              <w:t>426</w:t>
            </w:r>
          </w:p>
        </w:tc>
        <w:tc>
          <w:tcPr>
            <w:tcW w:w="2886" w:type="dxa"/>
          </w:tcPr>
          <w:p w:rsidR="00B5536D" w:rsidRPr="00BB3540" w:rsidRDefault="00B5536D" w:rsidP="00764386">
            <w:pPr>
              <w:contextualSpacing/>
              <w:jc w:val="center"/>
              <w:rPr>
                <w:rFonts w:ascii="Garamond" w:hAnsi="Garamond"/>
              </w:rPr>
            </w:pPr>
            <w:r w:rsidRPr="00BB3540">
              <w:rPr>
                <w:rFonts w:ascii="Garamond" w:hAnsi="Garamond"/>
              </w:rPr>
              <w:t>50.4%</w:t>
            </w:r>
          </w:p>
        </w:tc>
      </w:tr>
      <w:tr w:rsidR="00B5536D" w:rsidRPr="00BB3540" w:rsidTr="00355BC6">
        <w:trPr>
          <w:trHeight w:val="275"/>
        </w:trPr>
        <w:tc>
          <w:tcPr>
            <w:tcW w:w="3014" w:type="dxa"/>
          </w:tcPr>
          <w:p w:rsidR="00B5536D" w:rsidRPr="00BB3540" w:rsidRDefault="00B5536D" w:rsidP="00764386">
            <w:pPr>
              <w:contextualSpacing/>
              <w:rPr>
                <w:rFonts w:ascii="Garamond" w:hAnsi="Garamond"/>
              </w:rPr>
            </w:pPr>
            <w:r w:rsidRPr="00BB3540">
              <w:rPr>
                <w:rFonts w:ascii="Garamond" w:hAnsi="Garamond"/>
              </w:rPr>
              <w:t>$100,000 to $149,999</w:t>
            </w:r>
          </w:p>
        </w:tc>
        <w:tc>
          <w:tcPr>
            <w:tcW w:w="3206" w:type="dxa"/>
          </w:tcPr>
          <w:p w:rsidR="00B5536D" w:rsidRPr="00BB3540" w:rsidRDefault="00B5536D" w:rsidP="00764386">
            <w:pPr>
              <w:contextualSpacing/>
              <w:jc w:val="center"/>
              <w:rPr>
                <w:rFonts w:ascii="Garamond" w:hAnsi="Garamond"/>
              </w:rPr>
            </w:pPr>
            <w:r w:rsidRPr="00BB3540">
              <w:rPr>
                <w:rFonts w:ascii="Garamond" w:hAnsi="Garamond"/>
              </w:rPr>
              <w:t>141</w:t>
            </w:r>
          </w:p>
        </w:tc>
        <w:tc>
          <w:tcPr>
            <w:tcW w:w="2886" w:type="dxa"/>
          </w:tcPr>
          <w:p w:rsidR="00B5536D" w:rsidRPr="00BB3540" w:rsidRDefault="00B5536D" w:rsidP="00764386">
            <w:pPr>
              <w:contextualSpacing/>
              <w:jc w:val="center"/>
              <w:rPr>
                <w:rFonts w:ascii="Garamond" w:hAnsi="Garamond"/>
              </w:rPr>
            </w:pPr>
            <w:r w:rsidRPr="00BB3540">
              <w:rPr>
                <w:rFonts w:ascii="Garamond" w:hAnsi="Garamond"/>
              </w:rPr>
              <w:t>16.7%</w:t>
            </w:r>
          </w:p>
        </w:tc>
      </w:tr>
      <w:tr w:rsidR="00B5536D" w:rsidRPr="00BB3540" w:rsidTr="00355BC6">
        <w:trPr>
          <w:trHeight w:val="275"/>
        </w:trPr>
        <w:tc>
          <w:tcPr>
            <w:tcW w:w="3014" w:type="dxa"/>
          </w:tcPr>
          <w:p w:rsidR="00B5536D" w:rsidRPr="00BB3540" w:rsidRDefault="00B5536D" w:rsidP="00764386">
            <w:pPr>
              <w:contextualSpacing/>
              <w:rPr>
                <w:rFonts w:ascii="Garamond" w:hAnsi="Garamond"/>
              </w:rPr>
            </w:pPr>
            <w:r w:rsidRPr="00BB3540">
              <w:rPr>
                <w:rFonts w:ascii="Garamond" w:hAnsi="Garamond"/>
              </w:rPr>
              <w:t>$150,000 to $199,999</w:t>
            </w:r>
          </w:p>
        </w:tc>
        <w:tc>
          <w:tcPr>
            <w:tcW w:w="3206" w:type="dxa"/>
          </w:tcPr>
          <w:p w:rsidR="00B5536D" w:rsidRPr="00BB3540" w:rsidRDefault="00B5536D" w:rsidP="00764386">
            <w:pPr>
              <w:contextualSpacing/>
              <w:jc w:val="center"/>
              <w:rPr>
                <w:rFonts w:ascii="Garamond" w:hAnsi="Garamond"/>
              </w:rPr>
            </w:pPr>
            <w:r w:rsidRPr="00BB3540">
              <w:rPr>
                <w:rFonts w:ascii="Garamond" w:hAnsi="Garamond"/>
              </w:rPr>
              <w:t>72</w:t>
            </w:r>
          </w:p>
        </w:tc>
        <w:tc>
          <w:tcPr>
            <w:tcW w:w="2886" w:type="dxa"/>
          </w:tcPr>
          <w:p w:rsidR="00B5536D" w:rsidRPr="00BB3540" w:rsidRDefault="00B5536D" w:rsidP="00764386">
            <w:pPr>
              <w:contextualSpacing/>
              <w:jc w:val="center"/>
              <w:rPr>
                <w:rFonts w:ascii="Garamond" w:hAnsi="Garamond"/>
              </w:rPr>
            </w:pPr>
            <w:r w:rsidRPr="00BB3540">
              <w:rPr>
                <w:rFonts w:ascii="Garamond" w:hAnsi="Garamond"/>
              </w:rPr>
              <w:t>8.5%</w:t>
            </w:r>
          </w:p>
        </w:tc>
      </w:tr>
      <w:tr w:rsidR="00B5536D" w:rsidRPr="00BB3540" w:rsidTr="00355BC6">
        <w:trPr>
          <w:trHeight w:val="275"/>
        </w:trPr>
        <w:tc>
          <w:tcPr>
            <w:tcW w:w="3014" w:type="dxa"/>
          </w:tcPr>
          <w:p w:rsidR="00B5536D" w:rsidRPr="00BB3540" w:rsidRDefault="00B5536D" w:rsidP="00764386">
            <w:pPr>
              <w:contextualSpacing/>
              <w:rPr>
                <w:rFonts w:ascii="Garamond" w:hAnsi="Garamond"/>
              </w:rPr>
            </w:pPr>
            <w:r w:rsidRPr="00BB3540">
              <w:rPr>
                <w:rFonts w:ascii="Garamond" w:hAnsi="Garamond"/>
              </w:rPr>
              <w:t>$200,000 to $299,999</w:t>
            </w:r>
          </w:p>
        </w:tc>
        <w:tc>
          <w:tcPr>
            <w:tcW w:w="3206" w:type="dxa"/>
          </w:tcPr>
          <w:p w:rsidR="00B5536D" w:rsidRPr="00BB3540" w:rsidRDefault="00B5536D" w:rsidP="00764386">
            <w:pPr>
              <w:contextualSpacing/>
              <w:jc w:val="center"/>
              <w:rPr>
                <w:rFonts w:ascii="Garamond" w:hAnsi="Garamond"/>
              </w:rPr>
            </w:pPr>
            <w:r w:rsidRPr="00BB3540">
              <w:rPr>
                <w:rFonts w:ascii="Garamond" w:hAnsi="Garamond"/>
              </w:rPr>
              <w:t>51</w:t>
            </w:r>
          </w:p>
        </w:tc>
        <w:tc>
          <w:tcPr>
            <w:tcW w:w="2886" w:type="dxa"/>
          </w:tcPr>
          <w:p w:rsidR="00B5536D" w:rsidRPr="00BB3540" w:rsidRDefault="00B5536D" w:rsidP="00764386">
            <w:pPr>
              <w:contextualSpacing/>
              <w:jc w:val="center"/>
              <w:rPr>
                <w:rFonts w:ascii="Garamond" w:hAnsi="Garamond"/>
              </w:rPr>
            </w:pPr>
            <w:r w:rsidRPr="00BB3540">
              <w:rPr>
                <w:rFonts w:ascii="Garamond" w:hAnsi="Garamond"/>
              </w:rPr>
              <w:t>6.0%</w:t>
            </w:r>
          </w:p>
        </w:tc>
      </w:tr>
      <w:tr w:rsidR="00B5536D" w:rsidRPr="00BB3540" w:rsidTr="00355BC6">
        <w:trPr>
          <w:trHeight w:val="275"/>
        </w:trPr>
        <w:tc>
          <w:tcPr>
            <w:tcW w:w="3014" w:type="dxa"/>
          </w:tcPr>
          <w:p w:rsidR="00B5536D" w:rsidRPr="00BB3540" w:rsidRDefault="00B5536D" w:rsidP="00764386">
            <w:pPr>
              <w:contextualSpacing/>
              <w:rPr>
                <w:rFonts w:ascii="Garamond" w:hAnsi="Garamond"/>
              </w:rPr>
            </w:pPr>
            <w:r w:rsidRPr="00BB3540">
              <w:rPr>
                <w:rFonts w:ascii="Garamond" w:hAnsi="Garamond"/>
              </w:rPr>
              <w:t>$300,000 to $499,999</w:t>
            </w:r>
          </w:p>
        </w:tc>
        <w:tc>
          <w:tcPr>
            <w:tcW w:w="3206" w:type="dxa"/>
          </w:tcPr>
          <w:p w:rsidR="00B5536D" w:rsidRPr="00BB3540" w:rsidRDefault="00B5536D" w:rsidP="00764386">
            <w:pPr>
              <w:contextualSpacing/>
              <w:jc w:val="center"/>
              <w:rPr>
                <w:rFonts w:ascii="Garamond" w:hAnsi="Garamond"/>
              </w:rPr>
            </w:pPr>
            <w:r w:rsidRPr="00BB3540">
              <w:rPr>
                <w:rFonts w:ascii="Garamond" w:hAnsi="Garamond"/>
              </w:rPr>
              <w:t>12</w:t>
            </w:r>
          </w:p>
        </w:tc>
        <w:tc>
          <w:tcPr>
            <w:tcW w:w="2886" w:type="dxa"/>
          </w:tcPr>
          <w:p w:rsidR="00B5536D" w:rsidRPr="00BB3540" w:rsidRDefault="00B5536D" w:rsidP="00764386">
            <w:pPr>
              <w:contextualSpacing/>
              <w:jc w:val="center"/>
              <w:rPr>
                <w:rFonts w:ascii="Garamond" w:hAnsi="Garamond"/>
              </w:rPr>
            </w:pPr>
            <w:r w:rsidRPr="00BB3540">
              <w:rPr>
                <w:rFonts w:ascii="Garamond" w:hAnsi="Garamond"/>
              </w:rPr>
              <w:t>1.4%</w:t>
            </w:r>
          </w:p>
        </w:tc>
      </w:tr>
      <w:tr w:rsidR="00B5536D" w:rsidRPr="00BB3540" w:rsidTr="00355BC6">
        <w:trPr>
          <w:trHeight w:val="275"/>
        </w:trPr>
        <w:tc>
          <w:tcPr>
            <w:tcW w:w="3014" w:type="dxa"/>
          </w:tcPr>
          <w:p w:rsidR="00B5536D" w:rsidRPr="00BB3540" w:rsidRDefault="00B5536D" w:rsidP="00764386">
            <w:pPr>
              <w:contextualSpacing/>
              <w:rPr>
                <w:rFonts w:ascii="Garamond" w:hAnsi="Garamond"/>
              </w:rPr>
            </w:pPr>
            <w:r w:rsidRPr="00BB3540">
              <w:rPr>
                <w:rFonts w:ascii="Garamond" w:hAnsi="Garamond"/>
              </w:rPr>
              <w:t>$500,000 to $999,999</w:t>
            </w:r>
          </w:p>
        </w:tc>
        <w:tc>
          <w:tcPr>
            <w:tcW w:w="3206" w:type="dxa"/>
          </w:tcPr>
          <w:p w:rsidR="00B5536D" w:rsidRPr="00BB3540" w:rsidRDefault="00B5536D" w:rsidP="00764386">
            <w:pPr>
              <w:contextualSpacing/>
              <w:jc w:val="center"/>
              <w:rPr>
                <w:rFonts w:ascii="Garamond" w:hAnsi="Garamond"/>
              </w:rPr>
            </w:pPr>
            <w:r w:rsidRPr="00BB3540">
              <w:rPr>
                <w:rFonts w:ascii="Garamond" w:hAnsi="Garamond"/>
              </w:rPr>
              <w:t>6</w:t>
            </w:r>
          </w:p>
        </w:tc>
        <w:tc>
          <w:tcPr>
            <w:tcW w:w="2886" w:type="dxa"/>
          </w:tcPr>
          <w:p w:rsidR="00B5536D" w:rsidRPr="00BB3540" w:rsidRDefault="00B5536D" w:rsidP="00764386">
            <w:pPr>
              <w:contextualSpacing/>
              <w:jc w:val="center"/>
              <w:rPr>
                <w:rFonts w:ascii="Garamond" w:hAnsi="Garamond"/>
              </w:rPr>
            </w:pPr>
            <w:r w:rsidRPr="00BB3540">
              <w:rPr>
                <w:rFonts w:ascii="Garamond" w:hAnsi="Garamond"/>
              </w:rPr>
              <w:t>0.7%</w:t>
            </w:r>
          </w:p>
        </w:tc>
      </w:tr>
      <w:tr w:rsidR="00B5536D" w:rsidRPr="00BB3540" w:rsidTr="00355BC6">
        <w:trPr>
          <w:trHeight w:val="275"/>
        </w:trPr>
        <w:tc>
          <w:tcPr>
            <w:tcW w:w="3014" w:type="dxa"/>
          </w:tcPr>
          <w:p w:rsidR="00B5536D" w:rsidRPr="00BB3540" w:rsidRDefault="00B5536D" w:rsidP="00764386">
            <w:pPr>
              <w:contextualSpacing/>
              <w:rPr>
                <w:rFonts w:ascii="Garamond" w:hAnsi="Garamond"/>
              </w:rPr>
            </w:pPr>
            <w:r w:rsidRPr="00BB3540">
              <w:rPr>
                <w:rFonts w:ascii="Garamond" w:hAnsi="Garamond"/>
              </w:rPr>
              <w:t>$1,000,000 or more</w:t>
            </w:r>
          </w:p>
        </w:tc>
        <w:tc>
          <w:tcPr>
            <w:tcW w:w="3206" w:type="dxa"/>
          </w:tcPr>
          <w:p w:rsidR="00B5536D" w:rsidRPr="00BB3540" w:rsidRDefault="00B5536D" w:rsidP="00764386">
            <w:pPr>
              <w:contextualSpacing/>
              <w:jc w:val="center"/>
              <w:rPr>
                <w:rFonts w:ascii="Garamond" w:hAnsi="Garamond"/>
              </w:rPr>
            </w:pPr>
            <w:r w:rsidRPr="00BB3540">
              <w:rPr>
                <w:rFonts w:ascii="Garamond" w:hAnsi="Garamond"/>
              </w:rPr>
              <w:t>0</w:t>
            </w:r>
          </w:p>
        </w:tc>
        <w:tc>
          <w:tcPr>
            <w:tcW w:w="2886" w:type="dxa"/>
          </w:tcPr>
          <w:p w:rsidR="00B5536D" w:rsidRPr="00BB3540" w:rsidRDefault="00B5536D" w:rsidP="00764386">
            <w:pPr>
              <w:contextualSpacing/>
              <w:jc w:val="center"/>
              <w:rPr>
                <w:rFonts w:ascii="Garamond" w:hAnsi="Garamond"/>
              </w:rPr>
            </w:pPr>
            <w:r w:rsidRPr="00BB3540">
              <w:rPr>
                <w:rFonts w:ascii="Garamond" w:hAnsi="Garamond"/>
              </w:rPr>
              <w:t>0.0%</w:t>
            </w:r>
          </w:p>
        </w:tc>
      </w:tr>
      <w:tr w:rsidR="00B5536D" w:rsidRPr="00BB3540" w:rsidTr="00355BC6">
        <w:trPr>
          <w:trHeight w:val="275"/>
        </w:trPr>
        <w:tc>
          <w:tcPr>
            <w:tcW w:w="3014" w:type="dxa"/>
          </w:tcPr>
          <w:p w:rsidR="00B5536D" w:rsidRPr="00BB3540" w:rsidRDefault="00B5536D" w:rsidP="00764386">
            <w:pPr>
              <w:contextualSpacing/>
              <w:rPr>
                <w:rFonts w:ascii="Garamond" w:hAnsi="Garamond"/>
              </w:rPr>
            </w:pPr>
            <w:r w:rsidRPr="00BB3540">
              <w:rPr>
                <w:rFonts w:ascii="Garamond" w:hAnsi="Garamond"/>
              </w:rPr>
              <w:t>Total</w:t>
            </w:r>
          </w:p>
        </w:tc>
        <w:tc>
          <w:tcPr>
            <w:tcW w:w="3206" w:type="dxa"/>
          </w:tcPr>
          <w:p w:rsidR="00B5536D" w:rsidRPr="00BB3540" w:rsidRDefault="00B5536D" w:rsidP="00764386">
            <w:pPr>
              <w:contextualSpacing/>
              <w:jc w:val="center"/>
              <w:rPr>
                <w:rFonts w:ascii="Garamond" w:hAnsi="Garamond"/>
              </w:rPr>
            </w:pPr>
            <w:r w:rsidRPr="00BB3540">
              <w:rPr>
                <w:rFonts w:ascii="Garamond" w:hAnsi="Garamond"/>
              </w:rPr>
              <w:t>846</w:t>
            </w:r>
          </w:p>
        </w:tc>
        <w:tc>
          <w:tcPr>
            <w:tcW w:w="2886" w:type="dxa"/>
          </w:tcPr>
          <w:p w:rsidR="00B5536D" w:rsidRPr="00BB3540" w:rsidRDefault="00B5536D" w:rsidP="00EE571F">
            <w:pPr>
              <w:keepNext/>
              <w:contextualSpacing/>
              <w:jc w:val="center"/>
              <w:rPr>
                <w:rFonts w:ascii="Garamond" w:hAnsi="Garamond"/>
              </w:rPr>
            </w:pPr>
            <w:r w:rsidRPr="00BB3540">
              <w:rPr>
                <w:rFonts w:ascii="Garamond" w:hAnsi="Garamond"/>
              </w:rPr>
              <w:t>100%</w:t>
            </w:r>
          </w:p>
        </w:tc>
      </w:tr>
    </w:tbl>
    <w:p w:rsidR="00EE571F" w:rsidRDefault="00EE571F" w:rsidP="00EE571F">
      <w:pPr>
        <w:pStyle w:val="Caption"/>
        <w:framePr w:hSpace="180" w:wrap="around" w:vAnchor="text" w:hAnchor="text" w:y="1"/>
        <w:suppressOverlap/>
      </w:pPr>
      <w:r>
        <w:t xml:space="preserve">Figure </w:t>
      </w:r>
      <w:fldSimple w:instr=" SEQ Figure \* ARABIC ">
        <w:r w:rsidR="00707511">
          <w:rPr>
            <w:noProof/>
          </w:rPr>
          <w:t>53</w:t>
        </w:r>
      </w:fldSimple>
    </w:p>
    <w:p w:rsidR="00B5536D" w:rsidRPr="00BB3540" w:rsidRDefault="00B5536D" w:rsidP="00764386">
      <w:pPr>
        <w:pStyle w:val="Heading3"/>
        <w:spacing w:line="240" w:lineRule="auto"/>
        <w:contextualSpacing/>
        <w:rPr>
          <w:rFonts w:ascii="Garamond" w:eastAsiaTheme="minorHAnsi" w:hAnsi="Garamond" w:cstheme="minorBidi"/>
          <w:b w:val="0"/>
          <w:bCs w:val="0"/>
          <w:color w:val="auto"/>
        </w:rPr>
      </w:pPr>
    </w:p>
    <w:p w:rsidR="00B5536D" w:rsidRPr="00B864AC" w:rsidRDefault="00B5536D" w:rsidP="00764386">
      <w:pPr>
        <w:spacing w:line="240" w:lineRule="auto"/>
        <w:contextualSpacing/>
        <w:rPr>
          <w:b/>
          <w:color w:val="4E5612"/>
          <w:sz w:val="25"/>
        </w:rPr>
      </w:pPr>
      <w:r w:rsidRPr="00B864AC">
        <w:rPr>
          <w:b/>
          <w:color w:val="4E5612"/>
          <w:sz w:val="25"/>
        </w:rPr>
        <w:t>Number of Homes and Rentals</w:t>
      </w:r>
    </w:p>
    <w:p w:rsidR="00B5536D" w:rsidRPr="00BB3540" w:rsidRDefault="00B5536D" w:rsidP="00764386">
      <w:pPr>
        <w:spacing w:line="240" w:lineRule="auto"/>
        <w:contextualSpacing/>
      </w:pPr>
      <w:r w:rsidRPr="00BB3540">
        <w:t>The total housing units is 1,323 with a margin of error of +/- 111 units. There are</w:t>
      </w:r>
      <w:r w:rsidR="004A48B0">
        <w:t xml:space="preserve"> </w:t>
      </w:r>
      <w:r w:rsidRPr="00BB3540">
        <w:t>1,232 housing units were estimated as occupied with a margin of error +/- 118 units. There was an estimated 91 vacant housing units with a margin of error of +/- 72 units.</w:t>
      </w:r>
      <w:r w:rsidRPr="00BB3540">
        <w:rPr>
          <w:rStyle w:val="FootnoteReference"/>
        </w:rPr>
        <w:footnoteReference w:id="82"/>
      </w:r>
    </w:p>
    <w:p w:rsidR="00E75ED3" w:rsidRDefault="00E75ED3" w:rsidP="00764386">
      <w:pPr>
        <w:spacing w:line="240" w:lineRule="auto"/>
        <w:contextualSpacing/>
        <w:rPr>
          <w:szCs w:val="24"/>
        </w:rPr>
      </w:pPr>
    </w:p>
    <w:p w:rsidR="00B5536D" w:rsidRPr="00B864AC" w:rsidRDefault="00B5536D" w:rsidP="00764386">
      <w:pPr>
        <w:spacing w:line="240" w:lineRule="auto"/>
        <w:contextualSpacing/>
        <w:rPr>
          <w:b/>
          <w:color w:val="4E5612"/>
          <w:sz w:val="25"/>
        </w:rPr>
      </w:pPr>
      <w:r w:rsidRPr="00B864AC">
        <w:rPr>
          <w:b/>
          <w:color w:val="4E5612"/>
          <w:sz w:val="25"/>
        </w:rPr>
        <w:t>Number of Real Estate Listings</w:t>
      </w:r>
    </w:p>
    <w:p w:rsidR="00B5536D" w:rsidRPr="00BB3540" w:rsidRDefault="00B5536D" w:rsidP="00764386">
      <w:pPr>
        <w:spacing w:line="240" w:lineRule="auto"/>
        <w:contextualSpacing/>
      </w:pPr>
      <w:r w:rsidRPr="00BB3540">
        <w:t>The number of real estate listings as of 2012 in Saint Anthony, Idaho including units for rent and for sale only is 166 units. The current listing home price is $141,097.04.</w:t>
      </w:r>
      <w:r w:rsidRPr="00BB3540">
        <w:rPr>
          <w:rStyle w:val="FootnoteReference"/>
        </w:rPr>
        <w:t xml:space="preserve"> </w:t>
      </w:r>
      <w:r w:rsidRPr="00BB3540">
        <w:rPr>
          <w:rStyle w:val="FootnoteReference"/>
        </w:rPr>
        <w:footnoteReference w:id="83"/>
      </w:r>
    </w:p>
    <w:p w:rsidR="00AA2CEB" w:rsidRDefault="00AA2CEB">
      <w:pPr>
        <w:rPr>
          <w:rFonts w:eastAsiaTheme="majorEastAsia" w:cstheme="majorBidi"/>
          <w:b/>
          <w:bCs/>
          <w:color w:val="4A4B0C"/>
          <w:sz w:val="28"/>
          <w:szCs w:val="28"/>
        </w:rPr>
      </w:pPr>
      <w:r>
        <w:rPr>
          <w:color w:val="4A4B0C"/>
        </w:rPr>
        <w:br w:type="page"/>
      </w:r>
    </w:p>
    <w:p w:rsidR="00F53990" w:rsidRDefault="00147D6D" w:rsidP="00147D6D">
      <w:pPr>
        <w:pStyle w:val="Heading1"/>
        <w:rPr>
          <w:color w:val="4A4B0C"/>
        </w:rPr>
      </w:pPr>
      <w:bookmarkStart w:id="18" w:name="_Toc329954143"/>
      <w:r w:rsidRPr="00F53990">
        <w:rPr>
          <w:color w:val="4A4B0C"/>
        </w:rPr>
        <w:lastRenderedPageBreak/>
        <w:t>Case Studies</w:t>
      </w:r>
      <w:bookmarkEnd w:id="18"/>
    </w:p>
    <w:p w:rsidR="000124E1" w:rsidRDefault="000124E1" w:rsidP="00F53990">
      <w:r>
        <w:t xml:space="preserve">A total of 28 case studies were completed for the following cities: Rexburg, Ashton, </w:t>
      </w:r>
      <w:proofErr w:type="spellStart"/>
      <w:r>
        <w:t>Driggs</w:t>
      </w:r>
      <w:proofErr w:type="spellEnd"/>
      <w:r>
        <w:t xml:space="preserve">, Victor, and St. Anthony. Those interviewed were asked their age, city of residence, commute time, percentage of income spent on housing, and whether or not finding affordable housing is difficult or easy. </w:t>
      </w:r>
    </w:p>
    <w:p w:rsidR="000124E1" w:rsidRDefault="000124E1" w:rsidP="00F53990">
      <w:r>
        <w:t>Those interviewed who reside in Rexburg had an average commute time of 4.4 minutes and paid an average of 36.8% of their income towards housing costs.</w:t>
      </w:r>
    </w:p>
    <w:p w:rsidR="000124E1" w:rsidRDefault="000124E1" w:rsidP="00F53990">
      <w:r>
        <w:t>In Ashton, those interviewed had an average commute time of 6.1 minutes and spent an average of 22% of their income on rent.</w:t>
      </w:r>
    </w:p>
    <w:p w:rsidR="000124E1" w:rsidRDefault="000124E1" w:rsidP="00F53990">
      <w:r>
        <w:t xml:space="preserve">In </w:t>
      </w:r>
      <w:proofErr w:type="spellStart"/>
      <w:r>
        <w:t>Driggs</w:t>
      </w:r>
      <w:proofErr w:type="spellEnd"/>
      <w:r>
        <w:t xml:space="preserve"> and Victor, the average commute time was 8.75 minutes and none of those interviewed have current housing costs.</w:t>
      </w:r>
    </w:p>
    <w:p w:rsidR="00147D6D" w:rsidRPr="00F53990" w:rsidRDefault="000124E1" w:rsidP="00F53990">
      <w:r>
        <w:t>In St. Anthony, the average commute time of those interviewed was 13.56 minutes. They reported spending an average of 27.78% of their income on housing costs.</w:t>
      </w:r>
    </w:p>
    <w:p w:rsidR="00355BC6" w:rsidRDefault="00355BC6">
      <w:pPr>
        <w:rPr>
          <w:rFonts w:eastAsiaTheme="majorEastAsia" w:cstheme="majorBidi"/>
          <w:b/>
          <w:bCs/>
          <w:color w:val="4A4B0C"/>
          <w:sz w:val="28"/>
          <w:szCs w:val="28"/>
        </w:rPr>
      </w:pPr>
      <w:r>
        <w:rPr>
          <w:color w:val="4A4B0C"/>
        </w:rPr>
        <w:br w:type="page"/>
      </w:r>
    </w:p>
    <w:p w:rsidR="001C0D3D" w:rsidRDefault="00147D6D" w:rsidP="00147D6D">
      <w:pPr>
        <w:pStyle w:val="Heading1"/>
        <w:rPr>
          <w:color w:val="4A4B0C"/>
        </w:rPr>
      </w:pPr>
      <w:bookmarkStart w:id="19" w:name="_Toc329954144"/>
      <w:r w:rsidRPr="00F53990">
        <w:rPr>
          <w:color w:val="4A4B0C"/>
        </w:rPr>
        <w:lastRenderedPageBreak/>
        <w:t>County Comparison</w:t>
      </w:r>
      <w:bookmarkEnd w:id="19"/>
    </w:p>
    <w:p w:rsidR="00651E33" w:rsidRPr="001C0D3D" w:rsidRDefault="001C0D3D" w:rsidP="001C0D3D">
      <w:r>
        <w:t>On a county-scale, the following graph shows the average amount of income each county spends on housing costs each month compared to the national average. Median incomes were taken from each county and divided by 12 to get a monthly median income. Next, 30% of the monthly median income was taken to obtain a recommended monthly housing cost. An average housing cost was found by taking the median home value in each county and calculating a mortgage using a mortgage calculator on the Internet.</w:t>
      </w:r>
      <w:r>
        <w:rPr>
          <w:rStyle w:val="FootnoteReference"/>
        </w:rPr>
        <w:footnoteReference w:id="84"/>
      </w:r>
      <w:r>
        <w:t xml:space="preserve"> The following assumptions were made when calculating the mortgages: 10% down payment, 4.5% interest, and a 30-year mortgage. On average, both Teton counties (Idaho and Wyoming) were found to spend more than 30% of their income on housing costs.</w:t>
      </w:r>
    </w:p>
    <w:p w:rsidR="00AB318E" w:rsidRDefault="00651E33" w:rsidP="00651E33">
      <w:r w:rsidRPr="00651E33">
        <w:rPr>
          <w:noProof/>
        </w:rPr>
        <w:drawing>
          <wp:inline distT="0" distB="0" distL="0" distR="0">
            <wp:extent cx="5486400" cy="2995295"/>
            <wp:effectExtent l="25400" t="25400" r="0" b="1905"/>
            <wp:docPr id="11" name="C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B318E" w:rsidRDefault="00AB318E" w:rsidP="00AB318E">
      <w:pPr>
        <w:spacing w:line="240" w:lineRule="auto"/>
        <w:contextualSpacing/>
        <w:rPr>
          <w:b/>
          <w:color w:val="4E5612"/>
          <w:sz w:val="25"/>
        </w:rPr>
      </w:pPr>
    </w:p>
    <w:p w:rsidR="00355BC6" w:rsidRDefault="00355BC6">
      <w:pPr>
        <w:rPr>
          <w:b/>
          <w:color w:val="4E5612"/>
          <w:sz w:val="25"/>
        </w:rPr>
      </w:pPr>
      <w:r>
        <w:rPr>
          <w:b/>
          <w:color w:val="4E5612"/>
          <w:sz w:val="25"/>
        </w:rPr>
        <w:br w:type="page"/>
      </w:r>
    </w:p>
    <w:p w:rsidR="00AB318E" w:rsidRDefault="00AB318E" w:rsidP="00AB318E">
      <w:pPr>
        <w:spacing w:line="240" w:lineRule="auto"/>
        <w:contextualSpacing/>
        <w:rPr>
          <w:b/>
          <w:color w:val="4E5612"/>
          <w:sz w:val="25"/>
        </w:rPr>
      </w:pPr>
      <w:r>
        <w:rPr>
          <w:b/>
          <w:color w:val="4E5612"/>
          <w:sz w:val="25"/>
        </w:rPr>
        <w:lastRenderedPageBreak/>
        <w:t>County Average Commute Time</w:t>
      </w:r>
    </w:p>
    <w:p w:rsidR="000124E1" w:rsidRPr="00AB318E" w:rsidRDefault="00AB318E" w:rsidP="00AB318E">
      <w:pPr>
        <w:spacing w:line="240" w:lineRule="auto"/>
        <w:contextualSpacing/>
      </w:pPr>
      <w:r>
        <w:t xml:space="preserve">Teton County Idaho and Fremont County both have an average commute time of over 20 minutes. The main cities within 20 minutes of Teton County Idaho are </w:t>
      </w:r>
      <w:proofErr w:type="spellStart"/>
      <w:r>
        <w:t>Driggs</w:t>
      </w:r>
      <w:proofErr w:type="spellEnd"/>
      <w:r>
        <w:t>, Victor, and Jackson. The main cities within 20 minutes of Fremont County are Island Park, St. Anthony, and Rexburg.</w:t>
      </w:r>
    </w:p>
    <w:p w:rsidR="00147D6D" w:rsidRPr="000124E1" w:rsidRDefault="000124E1" w:rsidP="000124E1">
      <w:r w:rsidRPr="000124E1">
        <w:rPr>
          <w:noProof/>
        </w:rPr>
        <w:drawing>
          <wp:inline distT="0" distB="0" distL="0" distR="0">
            <wp:extent cx="5765800" cy="2260600"/>
            <wp:effectExtent l="25400" t="25400" r="0" b="0"/>
            <wp:docPr id="10" name="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55BC6" w:rsidRDefault="00355BC6">
      <w:pPr>
        <w:rPr>
          <w:rFonts w:eastAsiaTheme="majorEastAsia" w:cstheme="majorBidi"/>
          <w:b/>
          <w:bCs/>
          <w:color w:val="4A4B0C"/>
          <w:sz w:val="28"/>
          <w:szCs w:val="28"/>
        </w:rPr>
      </w:pPr>
      <w:r>
        <w:rPr>
          <w:color w:val="4A4B0C"/>
        </w:rPr>
        <w:br w:type="page"/>
      </w:r>
    </w:p>
    <w:p w:rsidR="00E552E7" w:rsidRDefault="00147D6D" w:rsidP="00147D6D">
      <w:pPr>
        <w:pStyle w:val="Heading1"/>
        <w:rPr>
          <w:color w:val="4A4B0C"/>
        </w:rPr>
      </w:pPr>
      <w:bookmarkStart w:id="20" w:name="_Toc329954145"/>
      <w:r w:rsidRPr="00F53990">
        <w:rPr>
          <w:color w:val="4A4B0C"/>
        </w:rPr>
        <w:lastRenderedPageBreak/>
        <w:t>City Comparison</w:t>
      </w:r>
      <w:bookmarkEnd w:id="20"/>
    </w:p>
    <w:p w:rsidR="00651E33" w:rsidRPr="00E552E7" w:rsidRDefault="00E552E7" w:rsidP="00E552E7">
      <w:r>
        <w:t>The following graph shows the av</w:t>
      </w:r>
      <w:r w:rsidR="001C0D3D">
        <w:t>erage amount of income each county</w:t>
      </w:r>
      <w:r>
        <w:t xml:space="preserve"> spends on housing costs each month compared to the national average. Median i</w:t>
      </w:r>
      <w:r w:rsidR="001C0D3D">
        <w:t>ncomes were taken from each county</w:t>
      </w:r>
      <w:r>
        <w:t xml:space="preserve"> and divided by 12 to get a monthly median income. Next, 30% of the monthly median income was taken to obtain a recommended monthly housing cost. An average housing cost was found by taking the median home value in each </w:t>
      </w:r>
      <w:r w:rsidR="001C0D3D">
        <w:t>county</w:t>
      </w:r>
      <w:r>
        <w:t xml:space="preserve"> and calculating a mortgage using </w:t>
      </w:r>
      <w:r w:rsidR="00AB318E">
        <w:t>a mortgage calculator on the Internet.</w:t>
      </w:r>
      <w:r w:rsidR="001C0D3D">
        <w:rPr>
          <w:rStyle w:val="FootnoteReference"/>
        </w:rPr>
        <w:footnoteReference w:id="85"/>
      </w:r>
      <w:r>
        <w:t xml:space="preserve"> The following assumptions were made when calculating the mortgages: 10% down payment, 4.5% interest, </w:t>
      </w:r>
      <w:r w:rsidR="00AB318E">
        <w:t>and a 30-</w:t>
      </w:r>
      <w:r>
        <w:t xml:space="preserve">year mortgage. </w:t>
      </w:r>
      <w:r w:rsidR="00AB318E">
        <w:t xml:space="preserve">It was found that on average, the United States spends less than 30% of their income on housing. Rexburg, Island Park, and </w:t>
      </w:r>
      <w:proofErr w:type="spellStart"/>
      <w:r w:rsidR="00AB318E">
        <w:t>Driggs</w:t>
      </w:r>
      <w:proofErr w:type="spellEnd"/>
      <w:r w:rsidR="00AB318E">
        <w:t xml:space="preserve"> were all found on average to spend more than 30% of their income on housing costs.</w:t>
      </w:r>
    </w:p>
    <w:p w:rsidR="00AB318E" w:rsidRDefault="00651E33" w:rsidP="00651E33">
      <w:r w:rsidRPr="00651E33">
        <w:rPr>
          <w:noProof/>
        </w:rPr>
        <w:drawing>
          <wp:inline distT="0" distB="0" distL="0" distR="0">
            <wp:extent cx="5486400" cy="2772410"/>
            <wp:effectExtent l="25400" t="25400" r="0" b="0"/>
            <wp:docPr id="12" name="C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318E" w:rsidRDefault="00AB318E" w:rsidP="00AB318E">
      <w:pPr>
        <w:spacing w:line="240" w:lineRule="auto"/>
        <w:contextualSpacing/>
        <w:rPr>
          <w:b/>
          <w:color w:val="4E5612"/>
          <w:sz w:val="25"/>
        </w:rPr>
      </w:pPr>
    </w:p>
    <w:p w:rsidR="00AB318E" w:rsidRDefault="00AB318E" w:rsidP="00AB318E">
      <w:pPr>
        <w:spacing w:line="240" w:lineRule="auto"/>
        <w:contextualSpacing/>
        <w:rPr>
          <w:b/>
          <w:color w:val="4E5612"/>
          <w:sz w:val="25"/>
        </w:rPr>
      </w:pPr>
    </w:p>
    <w:p w:rsidR="00355BC6" w:rsidRDefault="00355BC6">
      <w:pPr>
        <w:rPr>
          <w:b/>
          <w:color w:val="4E5612"/>
          <w:sz w:val="25"/>
        </w:rPr>
      </w:pPr>
      <w:r>
        <w:rPr>
          <w:b/>
          <w:color w:val="4E5612"/>
          <w:sz w:val="25"/>
        </w:rPr>
        <w:br w:type="page"/>
      </w:r>
    </w:p>
    <w:p w:rsidR="00AB318E" w:rsidRDefault="00AB318E" w:rsidP="00AB318E">
      <w:pPr>
        <w:spacing w:line="240" w:lineRule="auto"/>
        <w:contextualSpacing/>
        <w:rPr>
          <w:b/>
          <w:color w:val="4E5612"/>
          <w:sz w:val="25"/>
        </w:rPr>
      </w:pPr>
      <w:r>
        <w:rPr>
          <w:b/>
          <w:color w:val="4E5612"/>
          <w:sz w:val="25"/>
        </w:rPr>
        <w:lastRenderedPageBreak/>
        <w:t>City Average Commute Time</w:t>
      </w:r>
    </w:p>
    <w:p w:rsidR="000124E1" w:rsidRPr="00651E33" w:rsidRDefault="00AB318E" w:rsidP="00651E33">
      <w:proofErr w:type="spellStart"/>
      <w:r>
        <w:t>Driggs</w:t>
      </w:r>
      <w:proofErr w:type="spellEnd"/>
      <w:r>
        <w:t xml:space="preserve"> and Victor have the highest average commute times of the cities researched. The average commute time for someone living in </w:t>
      </w:r>
      <w:proofErr w:type="spellStart"/>
      <w:r>
        <w:t>Driggs</w:t>
      </w:r>
      <w:proofErr w:type="spellEnd"/>
      <w:r>
        <w:t xml:space="preserve"> is 31.9 minutes while the average commute time for someone living in Victor is 29.2 minutes. The main city that people commute to is Jackson, Wyoming. According to Google maps, from </w:t>
      </w:r>
      <w:proofErr w:type="spellStart"/>
      <w:r>
        <w:t>Driggs</w:t>
      </w:r>
      <w:proofErr w:type="spellEnd"/>
      <w:r>
        <w:t xml:space="preserve"> to Jackson is 32.8 miles or 48 minutes. From Victor to Jackson</w:t>
      </w:r>
      <w:r w:rsidR="001C0D3D">
        <w:t xml:space="preserve"> is 24.4 miles or 36 minutes. This helps explain why </w:t>
      </w:r>
      <w:proofErr w:type="spellStart"/>
      <w:r w:rsidR="001C0D3D">
        <w:t>Driggs</w:t>
      </w:r>
      <w:proofErr w:type="spellEnd"/>
      <w:r w:rsidR="001C0D3D">
        <w:t xml:space="preserve">’ average commute time is slightly higher than that of Victor. </w:t>
      </w:r>
    </w:p>
    <w:p w:rsidR="00147D6D" w:rsidRPr="000124E1" w:rsidRDefault="000124E1" w:rsidP="000124E1">
      <w:r w:rsidRPr="000124E1">
        <w:rPr>
          <w:noProof/>
        </w:rPr>
        <w:drawing>
          <wp:inline distT="0" distB="0" distL="0" distR="0">
            <wp:extent cx="5918200" cy="2421467"/>
            <wp:effectExtent l="25400" t="25400" r="0" b="0"/>
            <wp:docPr id="9"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C0D3D" w:rsidRDefault="00147D6D" w:rsidP="00147D6D">
      <w:pPr>
        <w:pStyle w:val="Heading1"/>
        <w:rPr>
          <w:color w:val="4A4B0C"/>
        </w:rPr>
      </w:pPr>
      <w:bookmarkStart w:id="21" w:name="_Toc329954146"/>
      <w:r w:rsidRPr="00F53990">
        <w:rPr>
          <w:color w:val="4A4B0C"/>
        </w:rPr>
        <w:t>Alternative Housing Options</w:t>
      </w:r>
      <w:bookmarkEnd w:id="21"/>
    </w:p>
    <w:p w:rsidR="001C0D3D" w:rsidRPr="001C0D3D" w:rsidRDefault="001C0D3D" w:rsidP="001C0D3D">
      <w:r>
        <w:t xml:space="preserve">The three following alternative housing options were researched: subsidized housing, renting of basements, and converting underutilized hotels into apartment complexes. </w:t>
      </w:r>
    </w:p>
    <w:p w:rsidR="001C0D3D" w:rsidRDefault="001C0D3D" w:rsidP="001C0D3D">
      <w:pPr>
        <w:rPr>
          <w:rFonts w:cs="Garamond"/>
          <w:bCs/>
          <w:szCs w:val="31"/>
        </w:rPr>
      </w:pPr>
      <w:r>
        <w:rPr>
          <w:rFonts w:cs="Garamond"/>
          <w:bCs/>
          <w:szCs w:val="31"/>
        </w:rPr>
        <w:t>To aid those not able to currently find affordable housing, government subsidies could pay those a monthly rate to those willing to rent out their basements. Others who meet requirements could be provided subsidized housing.</w:t>
      </w:r>
    </w:p>
    <w:p w:rsidR="00AF1CDF" w:rsidRDefault="001C0D3D" w:rsidP="001C0D3D">
      <w:pPr>
        <w:rPr>
          <w:rFonts w:cs="Garamond"/>
          <w:bCs/>
          <w:szCs w:val="31"/>
        </w:rPr>
      </w:pPr>
      <w:r>
        <w:rPr>
          <w:rFonts w:cs="Garamond"/>
          <w:bCs/>
          <w:szCs w:val="31"/>
        </w:rPr>
        <w:t xml:space="preserve">In areas where hotels are rarely used, outdated and partially used hotels can be converted into affordable housing units. In Rexburg, an old Days Inn was recently renovated and converted into student housing for young men. The hotel lost its contract with Days Inn because of low occupancy rates. The complex, </w:t>
      </w:r>
      <w:proofErr w:type="spellStart"/>
      <w:r>
        <w:rPr>
          <w:rFonts w:cs="Garamond"/>
          <w:bCs/>
          <w:szCs w:val="31"/>
        </w:rPr>
        <w:t>Ar</w:t>
      </w:r>
      <w:proofErr w:type="spellEnd"/>
      <w:r>
        <w:rPr>
          <w:rFonts w:cs="Garamond"/>
          <w:bCs/>
          <w:szCs w:val="31"/>
        </w:rPr>
        <w:t xml:space="preserve">-Pad is 92% full for spring semester 2012 and has provided affordable housing for a number of students who usually would pay more for similar housing. </w:t>
      </w:r>
    </w:p>
    <w:p w:rsidR="00AF1CDF" w:rsidRDefault="00AF1CDF">
      <w:pPr>
        <w:rPr>
          <w:rFonts w:cs="Garamond"/>
          <w:bCs/>
          <w:szCs w:val="31"/>
        </w:rPr>
      </w:pPr>
      <w:r>
        <w:rPr>
          <w:rFonts w:cs="Garamond"/>
          <w:bCs/>
          <w:szCs w:val="31"/>
        </w:rPr>
        <w:br w:type="page"/>
      </w:r>
    </w:p>
    <w:p w:rsidR="00E75ED3" w:rsidRPr="00F53990" w:rsidRDefault="00E75ED3" w:rsidP="00355BC6">
      <w:pPr>
        <w:pStyle w:val="Heading1"/>
      </w:pPr>
      <w:bookmarkStart w:id="22" w:name="_Toc329954147"/>
      <w:r w:rsidRPr="00F53990">
        <w:lastRenderedPageBreak/>
        <w:t>Recommendations</w:t>
      </w:r>
      <w:bookmarkEnd w:id="22"/>
    </w:p>
    <w:p w:rsidR="00266D60" w:rsidRDefault="00000C72" w:rsidP="00376780">
      <w:pPr>
        <w:rPr>
          <w:rFonts w:cs="Garamond"/>
          <w:bCs/>
          <w:szCs w:val="31"/>
        </w:rPr>
      </w:pPr>
      <w:r>
        <w:rPr>
          <w:rFonts w:cs="Garamond"/>
          <w:bCs/>
          <w:szCs w:val="31"/>
        </w:rPr>
        <w:t>These areas</w:t>
      </w:r>
      <w:r w:rsidR="00266D60">
        <w:rPr>
          <w:rFonts w:cs="Garamond"/>
          <w:bCs/>
          <w:szCs w:val="31"/>
        </w:rPr>
        <w:t xml:space="preserve"> vary</w:t>
      </w:r>
      <w:r>
        <w:rPr>
          <w:rFonts w:cs="Garamond"/>
          <w:bCs/>
          <w:szCs w:val="31"/>
        </w:rPr>
        <w:t xml:space="preserve"> significantly</w:t>
      </w:r>
      <w:r w:rsidR="00E75ED3">
        <w:rPr>
          <w:rFonts w:cs="Garamond"/>
          <w:bCs/>
          <w:szCs w:val="31"/>
        </w:rPr>
        <w:t xml:space="preserve"> when it comes to cost of living, incomes, and home values. </w:t>
      </w:r>
      <w:r w:rsidR="00266D60">
        <w:rPr>
          <w:rFonts w:cs="Garamond"/>
          <w:bCs/>
          <w:szCs w:val="31"/>
        </w:rPr>
        <w:t>Based on the research, the following municipalities show the greatest disparities between income levels and available housing:</w:t>
      </w:r>
    </w:p>
    <w:p w:rsidR="00266D60" w:rsidRDefault="00266D60" w:rsidP="00266D60">
      <w:pPr>
        <w:pStyle w:val="ListParagraph"/>
        <w:numPr>
          <w:ilvl w:val="0"/>
          <w:numId w:val="26"/>
        </w:numPr>
        <w:rPr>
          <w:rFonts w:cs="Garamond"/>
          <w:bCs/>
          <w:szCs w:val="31"/>
        </w:rPr>
      </w:pPr>
      <w:r>
        <w:rPr>
          <w:rFonts w:cs="Garamond"/>
          <w:bCs/>
          <w:szCs w:val="31"/>
        </w:rPr>
        <w:t>Rexburg</w:t>
      </w:r>
    </w:p>
    <w:p w:rsidR="00266D60" w:rsidRDefault="00266D60" w:rsidP="00266D60">
      <w:pPr>
        <w:pStyle w:val="ListParagraph"/>
        <w:numPr>
          <w:ilvl w:val="1"/>
          <w:numId w:val="26"/>
        </w:numPr>
        <w:rPr>
          <w:rFonts w:cs="Garamond"/>
          <w:bCs/>
          <w:szCs w:val="31"/>
        </w:rPr>
      </w:pPr>
      <w:r>
        <w:rPr>
          <w:rFonts w:cs="Garamond"/>
          <w:bCs/>
          <w:szCs w:val="31"/>
        </w:rPr>
        <w:t>Over 60% of renters spend more than 30% of their income on housing.</w:t>
      </w:r>
    </w:p>
    <w:p w:rsidR="00266D60" w:rsidRDefault="00266D60" w:rsidP="00266D60">
      <w:pPr>
        <w:pStyle w:val="ListParagraph"/>
        <w:numPr>
          <w:ilvl w:val="0"/>
          <w:numId w:val="26"/>
        </w:numPr>
        <w:rPr>
          <w:rFonts w:cs="Garamond"/>
          <w:bCs/>
          <w:szCs w:val="31"/>
        </w:rPr>
      </w:pPr>
      <w:proofErr w:type="spellStart"/>
      <w:r>
        <w:rPr>
          <w:rFonts w:cs="Garamond"/>
          <w:bCs/>
          <w:szCs w:val="31"/>
        </w:rPr>
        <w:t>Driggs</w:t>
      </w:r>
      <w:proofErr w:type="spellEnd"/>
    </w:p>
    <w:p w:rsidR="00266D60" w:rsidRDefault="00266D60" w:rsidP="00266D60">
      <w:pPr>
        <w:pStyle w:val="ListParagraph"/>
        <w:numPr>
          <w:ilvl w:val="1"/>
          <w:numId w:val="26"/>
        </w:numPr>
        <w:rPr>
          <w:rFonts w:cs="Garamond"/>
          <w:bCs/>
          <w:szCs w:val="31"/>
        </w:rPr>
      </w:pPr>
      <w:r>
        <w:rPr>
          <w:rFonts w:cs="Garamond"/>
          <w:bCs/>
          <w:szCs w:val="31"/>
        </w:rPr>
        <w:t>Average commute is 31.9 minutes.</w:t>
      </w:r>
    </w:p>
    <w:p w:rsidR="00266D60" w:rsidRDefault="00266D60" w:rsidP="00266D60">
      <w:pPr>
        <w:pStyle w:val="ListParagraph"/>
        <w:numPr>
          <w:ilvl w:val="1"/>
          <w:numId w:val="26"/>
        </w:numPr>
        <w:rPr>
          <w:rFonts w:cs="Garamond"/>
          <w:bCs/>
          <w:szCs w:val="31"/>
        </w:rPr>
      </w:pPr>
      <w:r>
        <w:rPr>
          <w:rFonts w:cs="Garamond"/>
          <w:bCs/>
          <w:szCs w:val="31"/>
        </w:rPr>
        <w:t>38% of households (rent and mortgage) spend more than 30% of their income on housing.</w:t>
      </w:r>
    </w:p>
    <w:p w:rsidR="00000C72" w:rsidRDefault="00000C72" w:rsidP="00266D60">
      <w:pPr>
        <w:pStyle w:val="ListParagraph"/>
        <w:numPr>
          <w:ilvl w:val="0"/>
          <w:numId w:val="26"/>
        </w:numPr>
        <w:rPr>
          <w:rFonts w:cs="Garamond"/>
          <w:bCs/>
          <w:szCs w:val="31"/>
        </w:rPr>
      </w:pPr>
      <w:r>
        <w:rPr>
          <w:rFonts w:cs="Garamond"/>
          <w:bCs/>
          <w:szCs w:val="31"/>
        </w:rPr>
        <w:t>Victor</w:t>
      </w:r>
    </w:p>
    <w:p w:rsidR="00000C72" w:rsidRDefault="00000C72" w:rsidP="00000C72">
      <w:pPr>
        <w:pStyle w:val="ListParagraph"/>
        <w:numPr>
          <w:ilvl w:val="1"/>
          <w:numId w:val="26"/>
        </w:numPr>
        <w:rPr>
          <w:rFonts w:cs="Garamond"/>
          <w:bCs/>
          <w:szCs w:val="31"/>
        </w:rPr>
      </w:pPr>
      <w:r>
        <w:rPr>
          <w:rFonts w:cs="Garamond"/>
          <w:bCs/>
          <w:szCs w:val="31"/>
        </w:rPr>
        <w:t>Average commute is 29.2 minutes.</w:t>
      </w:r>
    </w:p>
    <w:p w:rsidR="00000C72" w:rsidRDefault="00000C72" w:rsidP="00000C72">
      <w:pPr>
        <w:pStyle w:val="ListParagraph"/>
        <w:numPr>
          <w:ilvl w:val="1"/>
          <w:numId w:val="26"/>
        </w:numPr>
        <w:rPr>
          <w:rFonts w:cs="Garamond"/>
          <w:bCs/>
          <w:szCs w:val="31"/>
        </w:rPr>
      </w:pPr>
      <w:r>
        <w:rPr>
          <w:rFonts w:cs="Garamond"/>
          <w:bCs/>
          <w:szCs w:val="31"/>
        </w:rPr>
        <w:t>51% of households with a mortgage spend more than 30% of their income on housing.</w:t>
      </w:r>
    </w:p>
    <w:p w:rsidR="00000C72" w:rsidRDefault="00000C72" w:rsidP="00000C72">
      <w:pPr>
        <w:rPr>
          <w:rFonts w:cs="Garamond"/>
          <w:bCs/>
          <w:szCs w:val="31"/>
        </w:rPr>
      </w:pPr>
    </w:p>
    <w:p w:rsidR="00AA2CEB" w:rsidRPr="00000C72" w:rsidRDefault="00AA2CEB">
      <w:pPr>
        <w:rPr>
          <w:rFonts w:cs="Garamond"/>
          <w:bCs/>
          <w:szCs w:val="31"/>
        </w:rPr>
      </w:pPr>
      <w:r>
        <w:rPr>
          <w:szCs w:val="52"/>
        </w:rPr>
        <w:br w:type="page"/>
      </w:r>
    </w:p>
    <w:p w:rsidR="00376780" w:rsidRDefault="00445CFA" w:rsidP="006A63AF">
      <w:pPr>
        <w:pStyle w:val="Heading1"/>
        <w:spacing w:line="240" w:lineRule="auto"/>
        <w:contextualSpacing/>
        <w:rPr>
          <w:szCs w:val="52"/>
        </w:rPr>
      </w:pPr>
      <w:bookmarkStart w:id="23" w:name="_Toc329954148"/>
      <w:r w:rsidRPr="006A63AF">
        <w:rPr>
          <w:szCs w:val="52"/>
        </w:rPr>
        <w:lastRenderedPageBreak/>
        <w:t>Bibliography</w:t>
      </w:r>
      <w:bookmarkEnd w:id="23"/>
    </w:p>
    <w:p w:rsidR="00376780" w:rsidRPr="002108E9" w:rsidRDefault="00CC0BA6" w:rsidP="00376780">
      <w:pPr>
        <w:pStyle w:val="FootnoteText"/>
        <w:rPr>
          <w:rFonts w:ascii="Garamond" w:hAnsi="Garamond"/>
        </w:rPr>
      </w:pPr>
      <w:hyperlink r:id="rId18" w:history="1">
        <w:r w:rsidR="00376780" w:rsidRPr="002108E9">
          <w:rPr>
            <w:rStyle w:val="Hyperlink"/>
            <w:rFonts w:ascii="Garamond" w:hAnsi="Garamond"/>
          </w:rPr>
          <w:t>http://quickfacts.census.gov/qfd/states/16/16081.html</w:t>
        </w:r>
      </w:hyperlink>
    </w:p>
    <w:p w:rsidR="00376780" w:rsidRPr="002108E9" w:rsidRDefault="00376780" w:rsidP="00376780">
      <w:pPr>
        <w:pStyle w:val="FootnoteText"/>
        <w:rPr>
          <w:rFonts w:ascii="Garamond" w:hAnsi="Garamond"/>
          <w:color w:val="000000"/>
        </w:rPr>
      </w:pPr>
    </w:p>
    <w:p w:rsidR="00376780" w:rsidRPr="002108E9" w:rsidRDefault="00CC0BA6" w:rsidP="00376780">
      <w:pPr>
        <w:pStyle w:val="FootnoteText"/>
        <w:rPr>
          <w:rFonts w:ascii="Garamond" w:hAnsi="Garamond"/>
        </w:rPr>
      </w:pPr>
      <w:hyperlink r:id="rId19" w:history="1">
        <w:r w:rsidR="00376780" w:rsidRPr="002108E9">
          <w:rPr>
            <w:rStyle w:val="Hyperlink"/>
            <w:rFonts w:ascii="Garamond" w:hAnsi="Garamond"/>
          </w:rPr>
          <w:t>http://www2.byui.edu/IR/stats/studentsf00.htm</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20" w:history="1">
        <w:r w:rsidR="00376780" w:rsidRPr="002108E9">
          <w:rPr>
            <w:rStyle w:val="Hyperlink"/>
            <w:rFonts w:ascii="Garamond" w:hAnsi="Garamond"/>
          </w:rPr>
          <w:t>http://www2.byui.edu/IR/stats/studentsf10.htm</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21" w:history="1">
        <w:r w:rsidR="00376780" w:rsidRPr="002108E9">
          <w:rPr>
            <w:rStyle w:val="Hyperlink"/>
            <w:rFonts w:ascii="Garamond" w:hAnsi="Garamond"/>
          </w:rPr>
          <w:t>http://factfinder2.census.gov/faces/tableservices/jsf/pages/productview.xhtml?pid=DEC_10_DP_DPDP1&amp;prodType=table</w:t>
        </w:r>
      </w:hyperlink>
    </w:p>
    <w:p w:rsidR="00376780" w:rsidRPr="002108E9" w:rsidRDefault="00376780" w:rsidP="00376780">
      <w:pPr>
        <w:pStyle w:val="FootnoteText"/>
        <w:rPr>
          <w:rFonts w:ascii="Garamond" w:hAnsi="Garamond"/>
          <w:color w:val="000000"/>
        </w:rPr>
      </w:pPr>
    </w:p>
    <w:p w:rsidR="00376780" w:rsidRPr="002108E9" w:rsidRDefault="00CC0BA6" w:rsidP="00376780">
      <w:pPr>
        <w:pStyle w:val="FootnoteText"/>
        <w:rPr>
          <w:rFonts w:ascii="Garamond" w:hAnsi="Garamond"/>
        </w:rPr>
      </w:pPr>
      <w:hyperlink r:id="rId22" w:history="1">
        <w:r w:rsidR="00376780" w:rsidRPr="002108E9">
          <w:rPr>
            <w:rStyle w:val="Hyperlink"/>
            <w:rFonts w:ascii="Garamond" w:hAnsi="Garamond"/>
          </w:rPr>
          <w:t>http://www2.byui.edu/IR/stats/age_10.htm</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color w:val="000000"/>
        </w:rPr>
      </w:pPr>
      <w:hyperlink r:id="rId23" w:history="1">
        <w:r w:rsidR="00376780" w:rsidRPr="002108E9">
          <w:rPr>
            <w:rStyle w:val="Hyperlink"/>
            <w:rFonts w:ascii="Garamond" w:hAnsi="Garamond"/>
          </w:rPr>
          <w:t>http://factfinder2.census.gov/faces/tableservices/jsf/pages/productview.xhtml?pid=ACS_10_5YR_DP03&amp;prodType=table</w:t>
        </w:r>
      </w:hyperlink>
    </w:p>
    <w:p w:rsidR="00376780" w:rsidRPr="002108E9" w:rsidRDefault="00376780" w:rsidP="00376780">
      <w:pPr>
        <w:pStyle w:val="FootnoteText"/>
        <w:rPr>
          <w:rFonts w:ascii="Garamond" w:hAnsi="Garamond"/>
        </w:rPr>
      </w:pPr>
    </w:p>
    <w:p w:rsidR="00376780" w:rsidRPr="002108E9" w:rsidRDefault="00CC0BA6" w:rsidP="00376780">
      <w:pPr>
        <w:rPr>
          <w:color w:val="000000"/>
        </w:rPr>
      </w:pPr>
      <w:hyperlink r:id="rId24" w:history="1">
        <w:r w:rsidR="00376780" w:rsidRPr="002108E9">
          <w:rPr>
            <w:rStyle w:val="Hyperlink"/>
          </w:rPr>
          <w:t>http://factfinder2.census.gov/faces/tableservices/jsf/pages/productview.xhtml?pid=ACS_10_SF4_DP03&amp;prodType=table</w:t>
        </w:r>
      </w:hyperlink>
    </w:p>
    <w:p w:rsidR="00376780" w:rsidRPr="002108E9" w:rsidRDefault="00CC0BA6" w:rsidP="00376780">
      <w:pPr>
        <w:pStyle w:val="FootnoteText"/>
        <w:rPr>
          <w:rFonts w:ascii="Garamond" w:hAnsi="Garamond"/>
          <w:color w:val="000000"/>
        </w:rPr>
      </w:pPr>
      <w:hyperlink r:id="rId25" w:history="1">
        <w:r w:rsidR="00376780" w:rsidRPr="002108E9">
          <w:rPr>
            <w:rStyle w:val="Hyperlink"/>
            <w:rFonts w:ascii="Garamond" w:hAnsi="Garamond"/>
          </w:rPr>
          <w:t>http://factfinder2.census.gov/faces/tableservices/jsf/pages/productview.xhtml?pid=ACS_10_3YR_DP04&amp;prodType=table</w:t>
        </w:r>
      </w:hyperlink>
    </w:p>
    <w:p w:rsidR="00376780" w:rsidRPr="002108E9" w:rsidRDefault="00376780" w:rsidP="00376780">
      <w:pPr>
        <w:pStyle w:val="FootnoteText"/>
        <w:rPr>
          <w:rFonts w:ascii="Garamond" w:hAnsi="Garamond"/>
        </w:rPr>
      </w:pPr>
    </w:p>
    <w:p w:rsidR="00376780" w:rsidRPr="002108E9" w:rsidRDefault="00CC0BA6" w:rsidP="00376780">
      <w:hyperlink r:id="rId26" w:history="1">
        <w:r w:rsidR="00376780" w:rsidRPr="002108E9">
          <w:rPr>
            <w:rStyle w:val="Hyperlink"/>
          </w:rPr>
          <w:t>http://www.fhamortgagecenter.com/fha-blog/debt-to-income-and-fha/</w:t>
        </w:r>
      </w:hyperlink>
    </w:p>
    <w:p w:rsidR="00376780" w:rsidRPr="002108E9" w:rsidRDefault="00CC0BA6" w:rsidP="00376780">
      <w:pPr>
        <w:pStyle w:val="FootnoteText"/>
        <w:rPr>
          <w:rFonts w:ascii="Garamond" w:hAnsi="Garamond"/>
          <w:color w:val="000000"/>
        </w:rPr>
      </w:pPr>
      <w:hyperlink r:id="rId27" w:history="1">
        <w:r w:rsidR="00376780" w:rsidRPr="002108E9">
          <w:rPr>
            <w:rStyle w:val="Hyperlink"/>
            <w:rFonts w:ascii="Garamond" w:hAnsi="Garamond"/>
          </w:rPr>
          <w:t>http://factfinder2.census.gov/faces/tableservices/jsf/pages/productview.xhtml?pid=ACS_10_3YR_DP04&amp;prodType=table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color w:val="000000"/>
        </w:rPr>
      </w:pPr>
      <w:hyperlink r:id="rId28" w:history="1">
        <w:r w:rsidR="00376780" w:rsidRPr="002108E9">
          <w:rPr>
            <w:rStyle w:val="Hyperlink"/>
            <w:rFonts w:ascii="Garamond" w:hAnsi="Garamond"/>
          </w:rPr>
          <w:t>http://factfinder2.census.gov/faces/tableservices/jsf/pages/productview.xhtml?pid=DEC_10_SF1_QTH1&amp;prodType=table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color w:val="000000"/>
        </w:rPr>
      </w:pPr>
      <w:hyperlink r:id="rId29" w:history="1">
        <w:r w:rsidR="00376780" w:rsidRPr="002108E9">
          <w:rPr>
            <w:rStyle w:val="Hyperlink"/>
            <w:rFonts w:ascii="Garamond" w:hAnsi="Garamond"/>
          </w:rPr>
          <w:t>http://www.usamls.net/snakeriver/default.asp?content=results&amp;menu_id=19719&amp;this_format=1&amp;query_id=121168588&amp;sortby=2</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30" w:history="1">
        <w:r w:rsidR="00376780" w:rsidRPr="002108E9">
          <w:rPr>
            <w:rStyle w:val="Hyperlink"/>
            <w:rFonts w:ascii="Garamond" w:hAnsi="Garamond"/>
          </w:rPr>
          <w:t>http://quickfacts.census.gov/qfd/states/16/16043.html</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31" w:history="1">
        <w:r w:rsidR="00376780" w:rsidRPr="002108E9">
          <w:rPr>
            <w:rStyle w:val="Hyperlink"/>
            <w:rFonts w:ascii="Garamond" w:hAnsi="Garamond"/>
          </w:rPr>
          <w:t>http://factfinder2.census.gov/faces/tableservices/jsf/pages/productview.xhtml?pid=DEC_10_DP_DPDP1&amp;prodType=table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32" w:history="1">
        <w:r w:rsidR="00376780" w:rsidRPr="002108E9">
          <w:rPr>
            <w:rStyle w:val="Hyperlink"/>
            <w:rFonts w:ascii="Garamond" w:hAnsi="Garamond"/>
          </w:rPr>
          <w:t>http://factfinder2.census.gov/faces/tableservices/jsf/pages/productview.xhtml?pid=ACS_10_5YR_DP03&amp;prodType=table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33" w:history="1">
        <w:r w:rsidR="00376780" w:rsidRPr="002108E9">
          <w:rPr>
            <w:rStyle w:val="Hyperlink"/>
            <w:rFonts w:ascii="Garamond" w:hAnsi="Garamond"/>
          </w:rPr>
          <w:t>http://factfinder2.census.gov/faces/tableservices/jsf/pages/productview.xhtml?pid=ACS_10_5YR_DP03&amp;prodType=table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34" w:history="1">
        <w:r w:rsidR="00376780" w:rsidRPr="002108E9">
          <w:rPr>
            <w:rStyle w:val="Hyperlink"/>
            <w:rFonts w:ascii="Garamond" w:hAnsi="Garamond"/>
          </w:rPr>
          <w:t>http://factfinder2.census.gov/faces/tableservices/jsf/pages/productview.xhtml?pid=DEC_10_SF1_QTH1&amp;prodType=table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35" w:history="1">
        <w:r w:rsidR="00376780" w:rsidRPr="002108E9">
          <w:rPr>
            <w:rStyle w:val="Hyperlink"/>
            <w:rFonts w:ascii="Garamond" w:hAnsi="Garamond"/>
          </w:rPr>
          <w:t>http://factfinder2.census.gov/faces/tableservices/jsf/pages/productview.xhtml?pid=ACS_10_5YR_DP04&amp;prodType=table</w:t>
        </w:r>
      </w:hyperlink>
    </w:p>
    <w:p w:rsidR="00376780" w:rsidRPr="002108E9" w:rsidRDefault="00376780" w:rsidP="00376780">
      <w:pPr>
        <w:pStyle w:val="FootnoteText"/>
        <w:rPr>
          <w:rFonts w:ascii="Garamond" w:hAnsi="Garamond"/>
        </w:rPr>
      </w:pPr>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36" w:history="1">
        <w:r w:rsidR="00376780" w:rsidRPr="002108E9">
          <w:rPr>
            <w:rStyle w:val="Hyperlink"/>
            <w:rFonts w:ascii="Garamond" w:hAnsi="Garamond"/>
          </w:rPr>
          <w:t>http://factfinder2.census.gov/faces/tableservices/jsf/pages/productview.xhtml?pid=ACS_10_5YR_DP04&amp;prodType=table</w:t>
        </w:r>
      </w:hyperlink>
    </w:p>
    <w:p w:rsidR="00376780" w:rsidRPr="002108E9" w:rsidRDefault="00376780" w:rsidP="00376780">
      <w:pPr>
        <w:pStyle w:val="FootnoteText"/>
        <w:rPr>
          <w:rFonts w:ascii="Garamond" w:hAnsi="Garamond"/>
        </w:rPr>
      </w:pPr>
      <w:r w:rsidRPr="002108E9">
        <w:rPr>
          <w:rFonts w:ascii="Garamond" w:hAnsi="Garamond"/>
        </w:rPr>
        <w:t xml:space="preserve"> </w:t>
      </w:r>
      <w:hyperlink r:id="rId37" w:history="1">
        <w:r w:rsidRPr="002108E9">
          <w:rPr>
            <w:rStyle w:val="Hyperlink"/>
            <w:rFonts w:ascii="Garamond" w:hAnsi="Garamond"/>
          </w:rPr>
          <w:t>http://factfinder2.census.gov/faces/tableservices/jsf/pages/productview.xhtml?pid=DEC_10_SF1_QTH1&amp;prodType=table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38" w:history="1">
        <w:r w:rsidR="00376780" w:rsidRPr="002108E9">
          <w:rPr>
            <w:rStyle w:val="Hyperlink"/>
            <w:rFonts w:ascii="Garamond" w:hAnsi="Garamond"/>
          </w:rPr>
          <w:t>http://www.zillow.com/homes/fremont-county-ID_rb/</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39" w:history="1">
        <w:r w:rsidR="00376780" w:rsidRPr="002108E9">
          <w:rPr>
            <w:rStyle w:val="Hyperlink"/>
            <w:rFonts w:ascii="Garamond" w:hAnsi="Garamond"/>
          </w:rPr>
          <w:t>http://quickfacts.census.gov/qfd/states/16/16081.html</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40" w:history="1">
        <w:r w:rsidR="00376780" w:rsidRPr="002108E9">
          <w:rPr>
            <w:rStyle w:val="Hyperlink"/>
            <w:rFonts w:ascii="Garamond" w:hAnsi="Garamond"/>
          </w:rPr>
          <w:t>http://factfinder2.census.gov/faces/tableservices/jsf/pages/productview.xhtml?pid=DEC_10_SF2_SF2DP1&amp;prodType=table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41" w:history="1">
        <w:r w:rsidR="00376780" w:rsidRPr="002108E9">
          <w:rPr>
            <w:rStyle w:val="Hyperlink"/>
            <w:rFonts w:ascii="Garamond" w:hAnsi="Garamond"/>
          </w:rPr>
          <w:t>http://factfinder2.census.gov/faces/tableservices/jsf/pages/productview.xhtml?pid=ACS_10_5YR_DP03&amp;prodType=table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42" w:history="1">
        <w:r w:rsidR="00376780" w:rsidRPr="002108E9">
          <w:rPr>
            <w:rStyle w:val="Hyperlink"/>
            <w:rFonts w:ascii="Garamond" w:hAnsi="Garamond"/>
          </w:rPr>
          <w:t>http://factfinder2.census.gov/faces/tableservices/jsf/pages/productview.xhtml?pid=ACS_10_5YR_DP03&amp;prodType=table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43" w:history="1">
        <w:r w:rsidR="00376780" w:rsidRPr="002108E9">
          <w:rPr>
            <w:rStyle w:val="Hyperlink"/>
            <w:rFonts w:ascii="Garamond" w:hAnsi="Garamond"/>
          </w:rPr>
          <w:t>http://factfinder2.census.gov/faces/tableservices/jsf/pages/productview.xhtml?pid=ACS_10_5YR_S2506&amp;prodType=table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44" w:anchor="/homes/for_sale/Teton-County-WY/745_rid/44.682325,-108.338928,43.219188,-112.766418_rect/7_zm/0_mmm/1_fr/" w:history="1">
        <w:r w:rsidR="00376780" w:rsidRPr="002108E9">
          <w:rPr>
            <w:rStyle w:val="Hyperlink"/>
            <w:rFonts w:ascii="Garamond" w:hAnsi="Garamond"/>
          </w:rPr>
          <w:t>http://zillow.com/homes/teton-county_rb/#/homes/for_sale/Teton-County-WY/745_rid/44.682325,-108.338928,43.219188,-112.766418_rect/7_zm/0_mmm/1_fr/</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45" w:history="1">
        <w:r w:rsidR="00376780" w:rsidRPr="002108E9">
          <w:rPr>
            <w:rStyle w:val="Hyperlink"/>
            <w:rFonts w:ascii="Garamond" w:hAnsi="Garamond"/>
          </w:rPr>
          <w:t>http://quickfacts.census.gov/qfd/states/56/56039.html</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46" w:history="1">
        <w:r w:rsidR="00376780" w:rsidRPr="002108E9">
          <w:rPr>
            <w:rStyle w:val="Hyperlink"/>
            <w:rFonts w:ascii="Garamond" w:hAnsi="Garamond"/>
          </w:rPr>
          <w:t>http://factfinder2.census.gov/faces/tableservices/jsf/pages/productview.xhtml?pid=DEC_10_DP_DPDP1</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47" w:history="1">
        <w:r w:rsidR="00376780" w:rsidRPr="002108E9">
          <w:rPr>
            <w:rStyle w:val="Hyperlink"/>
            <w:rFonts w:ascii="Garamond" w:hAnsi="Garamond"/>
          </w:rPr>
          <w:t>http://beta.bls.gov/maps/cew/WY?period=2011-Q3&amp;industry=10&amp;geo_id=56039&amp;chartData=3&amp;distribution=Quantiles&amp;pos_color=blue&amp;neg_color=orange&amp;showHideChart=show&amp;ownerType=0</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48" w:history="1">
        <w:r w:rsidR="00376780" w:rsidRPr="002108E9">
          <w:rPr>
            <w:rStyle w:val="Hyperlink"/>
            <w:rFonts w:ascii="Garamond" w:hAnsi="Garamond"/>
          </w:rPr>
          <w:t>http://factfinder2.census.gov/faces/tableservices/jsf/pages/productview.xhtml?pid=ACS_10_3YR_DP03&amp;prodType=table</w:t>
        </w:r>
      </w:hyperlink>
    </w:p>
    <w:p w:rsidR="00376780" w:rsidRPr="002108E9" w:rsidRDefault="00376780" w:rsidP="00376780">
      <w:pPr>
        <w:pStyle w:val="FootnoteText"/>
        <w:rPr>
          <w:rFonts w:ascii="Garamond" w:hAnsi="Garamond"/>
        </w:rPr>
      </w:pPr>
    </w:p>
    <w:p w:rsidR="00376780" w:rsidRPr="002108E9" w:rsidRDefault="00376780" w:rsidP="00376780">
      <w:pPr>
        <w:pStyle w:val="FootnoteText"/>
        <w:contextualSpacing/>
        <w:rPr>
          <w:rFonts w:ascii="Garamond" w:hAnsi="Garamond"/>
        </w:rPr>
      </w:pPr>
      <w:r w:rsidRPr="002108E9">
        <w:rPr>
          <w:rFonts w:ascii="Garamond" w:hAnsi="Garamond"/>
        </w:rPr>
        <w:t xml:space="preserve"> </w:t>
      </w:r>
      <w:r w:rsidRPr="002108E9">
        <w:rPr>
          <w:rFonts w:ascii="Garamond" w:hAnsi="Garamond"/>
          <w:noProof/>
        </w:rPr>
        <w:t>(</w:t>
      </w:r>
      <w:hyperlink r:id="rId49" w:history="1">
        <w:r w:rsidRPr="002108E9">
          <w:rPr>
            <w:rStyle w:val="Hyperlink"/>
            <w:rFonts w:ascii="Garamond" w:hAnsi="Garamond"/>
            <w:noProof/>
          </w:rPr>
          <w:t>http://factfinder2.census.gov/faces/tableservices/jsf/pages/productview.xhtml?pid=ACS_10_3YR_DP04&amp;prodType=table</w:t>
        </w:r>
      </w:hyperlink>
      <w:r w:rsidRPr="002108E9">
        <w:rPr>
          <w:rFonts w:ascii="Garamond" w:hAnsi="Garamond"/>
          <w:noProof/>
        </w:rPr>
        <w:t>)</w:t>
      </w:r>
    </w:p>
    <w:p w:rsidR="00376780" w:rsidRPr="002108E9" w:rsidRDefault="00376780" w:rsidP="00376780">
      <w:pPr>
        <w:pStyle w:val="FootnoteText"/>
        <w:rPr>
          <w:rFonts w:ascii="Garamond" w:hAnsi="Garamond"/>
        </w:rPr>
      </w:pPr>
      <w:r w:rsidRPr="002108E9">
        <w:rPr>
          <w:rFonts w:ascii="Garamond" w:hAnsi="Garamond"/>
        </w:rPr>
        <w:t xml:space="preserve"> </w:t>
      </w:r>
      <w:r w:rsidRPr="002108E9">
        <w:rPr>
          <w:rFonts w:ascii="Garamond" w:hAnsi="Garamond"/>
          <w:noProof/>
        </w:rPr>
        <w:t>(</w:t>
      </w:r>
      <w:hyperlink r:id="rId50" w:history="1">
        <w:r w:rsidRPr="002108E9">
          <w:rPr>
            <w:rStyle w:val="Hyperlink"/>
            <w:rFonts w:ascii="Garamond" w:hAnsi="Garamond"/>
            <w:noProof/>
          </w:rPr>
          <w:t>http://factfinder2.census.gov/faces/tableservices/jsf/pages/productview.xhtml?pid=DEC_10_DP_DPDP1&amp;prodType=table</w:t>
        </w:r>
      </w:hyperlink>
    </w:p>
    <w:p w:rsidR="00376780" w:rsidRPr="002108E9" w:rsidRDefault="00376780" w:rsidP="00376780">
      <w:pPr>
        <w:pStyle w:val="FootnoteText"/>
        <w:rPr>
          <w:rFonts w:ascii="Garamond" w:hAnsi="Garamond"/>
        </w:rPr>
      </w:pPr>
    </w:p>
    <w:p w:rsidR="00376780" w:rsidRPr="002108E9" w:rsidRDefault="00376780" w:rsidP="00376780">
      <w:pPr>
        <w:pStyle w:val="FootnoteText"/>
        <w:rPr>
          <w:rFonts w:ascii="Garamond" w:hAnsi="Garamond"/>
        </w:rPr>
      </w:pPr>
      <w:r w:rsidRPr="002108E9">
        <w:rPr>
          <w:rFonts w:ascii="Garamond" w:hAnsi="Garamond"/>
        </w:rPr>
        <w:lastRenderedPageBreak/>
        <w:t xml:space="preserve"> </w:t>
      </w:r>
      <w:r w:rsidRPr="002108E9">
        <w:rPr>
          <w:rFonts w:ascii="Garamond" w:hAnsi="Garamond"/>
          <w:noProof/>
        </w:rPr>
        <w:t>(</w:t>
      </w:r>
      <w:hyperlink r:id="rId51" w:history="1">
        <w:r w:rsidRPr="002108E9">
          <w:rPr>
            <w:rStyle w:val="Hyperlink"/>
            <w:rFonts w:ascii="Garamond" w:hAnsi="Garamond"/>
            <w:noProof/>
          </w:rPr>
          <w:t>http://www.wyomingcda.com/files/TetonDec11.pdf</w:t>
        </w:r>
      </w:hyperlink>
      <w:r w:rsidRPr="002108E9">
        <w:rPr>
          <w:rFonts w:ascii="Garamond" w:hAnsi="Garamond"/>
          <w:noProof/>
        </w:rPr>
        <w:t>)</w:t>
      </w:r>
      <w:r w:rsidRPr="002108E9">
        <w:rPr>
          <w:rFonts w:ascii="Garamond" w:hAnsi="Garamond"/>
        </w:rPr>
        <w:t xml:space="preserve">   </w:t>
      </w:r>
    </w:p>
    <w:p w:rsidR="00376780" w:rsidRPr="002108E9" w:rsidRDefault="00376780" w:rsidP="00376780">
      <w:pPr>
        <w:pStyle w:val="FootnoteText"/>
        <w:rPr>
          <w:rFonts w:ascii="Garamond" w:hAnsi="Garamond"/>
        </w:rPr>
      </w:pPr>
      <w:r w:rsidRPr="002108E9">
        <w:rPr>
          <w:rFonts w:ascii="Garamond" w:hAnsi="Garamond"/>
        </w:rPr>
        <w:t xml:space="preserve"> </w:t>
      </w:r>
    </w:p>
    <w:p w:rsidR="00376780" w:rsidRPr="002108E9" w:rsidRDefault="00CC0BA6" w:rsidP="00376780">
      <w:pPr>
        <w:pStyle w:val="FootnoteText"/>
        <w:contextualSpacing/>
        <w:rPr>
          <w:rFonts w:ascii="Garamond" w:hAnsi="Garamond"/>
        </w:rPr>
      </w:pPr>
      <w:hyperlink r:id="rId52" w:history="1">
        <w:r w:rsidR="00376780" w:rsidRPr="002108E9">
          <w:rPr>
            <w:rStyle w:val="Hyperlink"/>
            <w:rFonts w:ascii="Garamond" w:hAnsi="Garamond"/>
          </w:rPr>
          <w:t>http://factfinder2.census.gov/faces/tableservices/jsf/pages/productview.xhtml?pid=ACS_10_3YR_DP03&amp;prodType=table</w:t>
        </w:r>
      </w:hyperlink>
    </w:p>
    <w:p w:rsidR="00376780" w:rsidRPr="002108E9" w:rsidRDefault="00376780" w:rsidP="00376780">
      <w:pPr>
        <w:pStyle w:val="FootnoteText"/>
        <w:contextualSpacing/>
        <w:rPr>
          <w:rFonts w:ascii="Garamond" w:hAnsi="Garamond"/>
          <w:color w:val="000000"/>
        </w:rPr>
      </w:pPr>
    </w:p>
    <w:p w:rsidR="00376780" w:rsidRPr="002108E9" w:rsidRDefault="00CC0BA6" w:rsidP="00376780">
      <w:pPr>
        <w:pStyle w:val="FootnoteText"/>
        <w:rPr>
          <w:rFonts w:ascii="Garamond" w:hAnsi="Garamond"/>
        </w:rPr>
      </w:pPr>
      <w:hyperlink r:id="rId53" w:history="1">
        <w:r w:rsidR="00376780" w:rsidRPr="002108E9">
          <w:rPr>
            <w:rStyle w:val="Hyperlink"/>
            <w:rFonts w:ascii="Garamond" w:hAnsi="Garamond"/>
          </w:rPr>
          <w:t>http://factfinder2.census.gov/faces/tableservices/jsf/pages/productview.xhtml?pid=ACS_10_3YR_DP03&amp;prodType=table</w:t>
        </w:r>
      </w:hyperlink>
    </w:p>
    <w:p w:rsidR="00376780" w:rsidRPr="002108E9" w:rsidRDefault="00376780" w:rsidP="00376780">
      <w:pPr>
        <w:pStyle w:val="FootnoteText"/>
        <w:rPr>
          <w:rFonts w:ascii="Garamond" w:hAnsi="Garamond"/>
        </w:rPr>
      </w:pPr>
    </w:p>
    <w:p w:rsidR="00376780" w:rsidRPr="002108E9" w:rsidRDefault="00CC0BA6" w:rsidP="00376780">
      <w:pPr>
        <w:spacing w:line="240" w:lineRule="auto"/>
        <w:contextualSpacing/>
      </w:pPr>
      <w:hyperlink r:id="rId54" w:history="1">
        <w:r w:rsidR="00376780" w:rsidRPr="001D0680">
          <w:rPr>
            <w:rStyle w:val="Hyperlink"/>
          </w:rPr>
          <w:t>http://www.fhamortgagecenter.com/fha-blog/debt-to-income-and-fha/</w:t>
        </w:r>
      </w:hyperlink>
    </w:p>
    <w:p w:rsidR="00376780" w:rsidRPr="002108E9" w:rsidRDefault="00CC0BA6" w:rsidP="00376780">
      <w:pPr>
        <w:pStyle w:val="FootnoteText"/>
        <w:contextualSpacing/>
        <w:rPr>
          <w:rFonts w:ascii="Garamond" w:hAnsi="Garamond"/>
          <w:color w:val="000000"/>
        </w:rPr>
      </w:pPr>
      <w:hyperlink r:id="rId55" w:history="1">
        <w:r w:rsidR="00376780" w:rsidRPr="002108E9">
          <w:rPr>
            <w:rStyle w:val="Hyperlink"/>
            <w:rFonts w:ascii="Garamond" w:hAnsi="Garamond"/>
          </w:rPr>
          <w:t>http://factfinder2.census.gov/faces/tableservices/jsf/pages/productview.xhtml?pid=ACS_10_5YR_DP04&amp;prodType=table</w:t>
        </w:r>
      </w:hyperlink>
    </w:p>
    <w:p w:rsidR="00376780" w:rsidRPr="002108E9" w:rsidRDefault="00376780" w:rsidP="00376780">
      <w:pPr>
        <w:pStyle w:val="FootnoteText"/>
        <w:contextualSpacing/>
        <w:rPr>
          <w:rFonts w:ascii="Garamond" w:hAnsi="Garamond"/>
        </w:rPr>
      </w:pPr>
    </w:p>
    <w:p w:rsidR="00376780" w:rsidRPr="002108E9" w:rsidRDefault="00CC0BA6" w:rsidP="00376780">
      <w:pPr>
        <w:pStyle w:val="FootnoteText"/>
        <w:contextualSpacing/>
        <w:rPr>
          <w:rFonts w:ascii="Garamond" w:hAnsi="Garamond"/>
          <w:color w:val="000000"/>
        </w:rPr>
      </w:pPr>
      <w:hyperlink r:id="rId56" w:history="1">
        <w:r w:rsidR="00376780" w:rsidRPr="002108E9">
          <w:rPr>
            <w:rStyle w:val="Hyperlink"/>
            <w:rFonts w:ascii="Garamond" w:hAnsi="Garamond"/>
          </w:rPr>
          <w:t>http://www.usamls.net/snakeriver/default.asp?content=results&amp;menu_id=19719&amp;this_format=1&amp;query_id=121168560&amp;sortby=2</w:t>
        </w:r>
      </w:hyperlink>
    </w:p>
    <w:p w:rsidR="00376780" w:rsidRPr="002108E9" w:rsidRDefault="00376780" w:rsidP="00376780">
      <w:pPr>
        <w:pStyle w:val="FootnoteText"/>
        <w:contextualSpacing/>
        <w:rPr>
          <w:rFonts w:ascii="Garamond" w:hAnsi="Garamond"/>
        </w:rPr>
      </w:pPr>
    </w:p>
    <w:p w:rsidR="00376780" w:rsidRPr="002108E9" w:rsidRDefault="00CC0BA6" w:rsidP="00376780">
      <w:pPr>
        <w:pStyle w:val="FootnoteText"/>
        <w:rPr>
          <w:rFonts w:ascii="Garamond" w:hAnsi="Garamond"/>
        </w:rPr>
      </w:pPr>
      <w:hyperlink r:id="rId57" w:history="1">
        <w:r w:rsidR="00376780" w:rsidRPr="002108E9">
          <w:rPr>
            <w:rStyle w:val="Hyperlink"/>
            <w:rFonts w:ascii="Garamond" w:hAnsi="Garamond"/>
          </w:rPr>
          <w:t>http://factfinder2.census.gov/faces/tableservices/jsf/pages/productview.xhtml?pid=DEC_10_DP_DPDP1&amp;prodType=table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58" w:history="1">
        <w:r w:rsidR="00376780" w:rsidRPr="002108E9">
          <w:rPr>
            <w:rStyle w:val="Hyperlink"/>
            <w:rFonts w:ascii="Garamond" w:hAnsi="Garamond"/>
          </w:rPr>
          <w:t>http://factfinder2.census.gov/faces/tableservices/jsf/pages/productview.xhtml?pid=DEC_10_DP_DPDP1&amp;prodType=table</w:t>
        </w:r>
      </w:hyperlink>
      <w:r w:rsidR="00376780" w:rsidRPr="002108E9">
        <w:rPr>
          <w:rFonts w:ascii="Garamond" w:hAnsi="Garamond"/>
        </w:rPr>
        <w:t xml:space="preserve"> </w:t>
      </w:r>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59" w:history="1">
        <w:r w:rsidR="00376780" w:rsidRPr="002108E9">
          <w:rPr>
            <w:rStyle w:val="Hyperlink"/>
            <w:rFonts w:ascii="Garamond" w:hAnsi="Garamond"/>
          </w:rPr>
          <w:t>http://factfinder2.census.gov/faces/tableservices/jsf/pages/productview.xhtml?pid=ACS_10_5YR_DP03&amp;prodType=table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60" w:history="1">
        <w:r w:rsidR="00376780" w:rsidRPr="002108E9">
          <w:rPr>
            <w:rStyle w:val="Hyperlink"/>
            <w:rFonts w:ascii="Garamond" w:hAnsi="Garamond"/>
          </w:rPr>
          <w:t>http://factfinder2.census.gov/faces/tableservices/jsf/pages/productview.xhtml?pid=ACS_10_5YR_DP03&amp;prodType=table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61" w:history="1">
        <w:r w:rsidR="00376780" w:rsidRPr="002108E9">
          <w:rPr>
            <w:rStyle w:val="Hyperlink"/>
            <w:rFonts w:ascii="Garamond" w:hAnsi="Garamond"/>
          </w:rPr>
          <w:t>http://factfinder2.census.gov/faces/tableservices/jsf/pages/productview.xhtml?pid=ACS_10_1YR_DP04&amp;prodType=table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62" w:history="1">
        <w:r w:rsidR="00376780" w:rsidRPr="002108E9">
          <w:rPr>
            <w:rStyle w:val="Hyperlink"/>
            <w:rFonts w:ascii="Garamond" w:hAnsi="Garamond"/>
          </w:rPr>
          <w:t>http://factfinder2.census.gov/faces/tableservices/jsf/pages/productview.xhtml?pid=ACS_10_5YR_DP04&amp;prodType=table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63" w:history="1">
        <w:r w:rsidR="00376780" w:rsidRPr="002108E9">
          <w:rPr>
            <w:rStyle w:val="Hyperlink"/>
            <w:rFonts w:ascii="Garamond" w:hAnsi="Garamond"/>
          </w:rPr>
          <w:t>http://factfinder2.census.gov/faces/tableservices/jsf/pages/productview.xhtml?pid=ACS_10_5YR_DP04&amp;prodType=table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64" w:history="1">
        <w:r w:rsidR="00376780" w:rsidRPr="002108E9">
          <w:rPr>
            <w:rStyle w:val="Hyperlink"/>
            <w:rFonts w:ascii="Garamond" w:hAnsi="Garamond"/>
          </w:rPr>
          <w:t>http://factfinder2.census.gov/faces/tableservices/jsf/pages/productview.xhtml?pid=DEC_10_SF1_QTH1&amp;prodType=table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65" w:history="1">
        <w:r w:rsidR="00376780" w:rsidRPr="002108E9">
          <w:rPr>
            <w:rStyle w:val="Hyperlink"/>
            <w:rFonts w:ascii="Garamond" w:hAnsi="Garamond"/>
          </w:rPr>
          <w:t>http://factfinder2.census.gov/faces/tableservices/jsf/pages/productview.xhtml?pid=DEC_10_SF1_QTH1&amp;prodType=table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66" w:history="1">
        <w:r w:rsidR="00376780" w:rsidRPr="002108E9">
          <w:rPr>
            <w:rStyle w:val="Hyperlink"/>
            <w:rFonts w:ascii="Garamond" w:hAnsi="Garamond"/>
          </w:rPr>
          <w:t>http://www.usamls.net/snakeriver/default.asp?content=results&amp;menu_id=19719&amp;this_format=1&amp;query_id=121164976&amp;sortby=2&amp;page=3</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67" w:history="1">
        <w:r w:rsidR="00376780" w:rsidRPr="002108E9">
          <w:rPr>
            <w:rStyle w:val="Hyperlink"/>
            <w:rFonts w:ascii="Garamond" w:hAnsi="Garamond"/>
          </w:rPr>
          <w:t>http://factfinder2.census.gov/faces/tableservices/jsf/pages/productview.xhtml?pid=DEC_10_DP_DPDP1</w:t>
        </w:r>
      </w:hyperlink>
    </w:p>
    <w:p w:rsidR="00376780" w:rsidRPr="002108E9" w:rsidRDefault="00376780" w:rsidP="00376780">
      <w:pPr>
        <w:pStyle w:val="FootnoteText"/>
        <w:rPr>
          <w:rFonts w:ascii="Garamond" w:hAnsi="Garamond"/>
        </w:rPr>
      </w:pPr>
    </w:p>
    <w:p w:rsidR="00376780" w:rsidRPr="002108E9" w:rsidRDefault="00376780" w:rsidP="00376780">
      <w:pPr>
        <w:pStyle w:val="FootnoteText"/>
        <w:rPr>
          <w:rFonts w:ascii="Garamond" w:hAnsi="Garamond"/>
        </w:rPr>
      </w:pPr>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68" w:history="1">
        <w:r w:rsidR="00376780" w:rsidRPr="002108E9">
          <w:rPr>
            <w:rStyle w:val="Hyperlink"/>
            <w:rFonts w:ascii="Garamond" w:hAnsi="Garamond"/>
          </w:rPr>
          <w:t>http://www.zillow.com/homes/Island-Park-ID_rb/</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69" w:history="1">
        <w:r w:rsidR="00376780" w:rsidRPr="002108E9">
          <w:rPr>
            <w:rStyle w:val="Hyperlink"/>
            <w:rFonts w:ascii="Garamond" w:hAnsi="Garamond"/>
          </w:rPr>
          <w:t>http://www.usamls.net/snakeriver/default.asp?content=results&amp;menu_id=19719&amp;this_format=1&amp;query_id=121177125&amp;sortby=10&amp;page=12</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70" w:history="1">
        <w:r w:rsidR="00376780" w:rsidRPr="002108E9">
          <w:rPr>
            <w:rStyle w:val="Hyperlink"/>
            <w:rFonts w:ascii="Garamond" w:hAnsi="Garamond"/>
          </w:rPr>
          <w:t>http://factfinder2.census.gov/faces/tableservices/jsf/pages/productview.xhtml?pid=ACS_10_5YR_S2506&amp;prodType=table</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71" w:history="1">
        <w:r w:rsidR="00376780" w:rsidRPr="002108E9">
          <w:rPr>
            <w:rStyle w:val="Hyperlink"/>
            <w:rFonts w:ascii="Garamond" w:hAnsi="Garamond"/>
          </w:rPr>
          <w:t>http://zillow.com/homes/driggs-ID_rb/</w:t>
        </w:r>
      </w:hyperlink>
    </w:p>
    <w:p w:rsidR="00376780" w:rsidRPr="002108E9" w:rsidRDefault="00376780" w:rsidP="00376780">
      <w:pPr>
        <w:pStyle w:val="FootnoteText"/>
        <w:rPr>
          <w:rFonts w:ascii="Garamond" w:hAnsi="Garamond"/>
        </w:rPr>
      </w:pPr>
    </w:p>
    <w:p w:rsidR="00376780" w:rsidRPr="002108E9" w:rsidRDefault="00CC0BA6" w:rsidP="00376780">
      <w:pPr>
        <w:pStyle w:val="FootnoteText"/>
        <w:rPr>
          <w:rFonts w:ascii="Garamond" w:hAnsi="Garamond"/>
        </w:rPr>
      </w:pPr>
      <w:hyperlink r:id="rId72" w:history="1">
        <w:r w:rsidR="00376780" w:rsidRPr="002108E9">
          <w:rPr>
            <w:rStyle w:val="Hyperlink"/>
            <w:rFonts w:ascii="Garamond" w:hAnsi="Garamond"/>
          </w:rPr>
          <w:t>http://www.trulia.com/real_estate/Driggs-Idaho/</w:t>
        </w:r>
      </w:hyperlink>
    </w:p>
    <w:p w:rsidR="00376780" w:rsidRPr="002108E9" w:rsidRDefault="00376780" w:rsidP="00376780">
      <w:pPr>
        <w:pStyle w:val="FootnoteText"/>
        <w:rPr>
          <w:rFonts w:ascii="Garamond" w:hAnsi="Garamond"/>
          <w:color w:val="DB5353" w:themeColor="hyperlink"/>
          <w:u w:val="single"/>
        </w:rPr>
      </w:pPr>
    </w:p>
    <w:p w:rsidR="00376780" w:rsidRPr="002108E9" w:rsidRDefault="00CC0BA6" w:rsidP="00376780">
      <w:pPr>
        <w:pStyle w:val="FootnoteText"/>
        <w:contextualSpacing/>
        <w:rPr>
          <w:rFonts w:ascii="Garamond" w:hAnsi="Garamond"/>
        </w:rPr>
      </w:pPr>
      <w:hyperlink r:id="rId73" w:history="1">
        <w:r w:rsidR="00376780" w:rsidRPr="002108E9">
          <w:rPr>
            <w:rStyle w:val="Hyperlink"/>
            <w:rFonts w:ascii="Garamond" w:hAnsi="Garamond"/>
          </w:rPr>
          <w:t>http://factfinder2.census.gov/faces/tableservices/jsf/pages/productview.xhtml?pid=ACS_10_5YR_S2506&amp;prodType=table</w:t>
        </w:r>
      </w:hyperlink>
    </w:p>
    <w:p w:rsidR="00376780" w:rsidRPr="002108E9" w:rsidRDefault="00376780" w:rsidP="00376780">
      <w:pPr>
        <w:pStyle w:val="FootnoteText"/>
        <w:contextualSpacing/>
        <w:rPr>
          <w:rFonts w:ascii="Garamond" w:hAnsi="Garamond"/>
        </w:rPr>
      </w:pPr>
    </w:p>
    <w:p w:rsidR="00376780" w:rsidRPr="002108E9" w:rsidRDefault="00CC0BA6" w:rsidP="00376780">
      <w:pPr>
        <w:pStyle w:val="FootnoteText"/>
        <w:contextualSpacing/>
        <w:rPr>
          <w:rFonts w:ascii="Garamond" w:hAnsi="Garamond"/>
        </w:rPr>
      </w:pPr>
      <w:hyperlink r:id="rId74" w:history="1">
        <w:r w:rsidR="00376780" w:rsidRPr="002108E9">
          <w:rPr>
            <w:rStyle w:val="Hyperlink"/>
            <w:rFonts w:ascii="Garamond" w:hAnsi="Garamond"/>
          </w:rPr>
          <w:t>http://zillow.com/homes/Victor-ID_rb/</w:t>
        </w:r>
      </w:hyperlink>
    </w:p>
    <w:p w:rsidR="00376780" w:rsidRPr="002108E9" w:rsidRDefault="00376780" w:rsidP="00376780">
      <w:pPr>
        <w:pStyle w:val="FootnoteText"/>
        <w:contextualSpacing/>
        <w:rPr>
          <w:rFonts w:ascii="Garamond" w:hAnsi="Garamond"/>
        </w:rPr>
      </w:pPr>
    </w:p>
    <w:p w:rsidR="00376780" w:rsidRPr="002108E9" w:rsidRDefault="00CC0BA6" w:rsidP="00376780">
      <w:pPr>
        <w:spacing w:line="240" w:lineRule="auto"/>
        <w:contextualSpacing/>
      </w:pPr>
      <w:hyperlink r:id="rId75" w:history="1">
        <w:r w:rsidR="00376780" w:rsidRPr="002108E9">
          <w:rPr>
            <w:rStyle w:val="Hyperlink"/>
          </w:rPr>
          <w:t>http://www.trulia.com/real_estate/Victor-Idaho/</w:t>
        </w:r>
      </w:hyperlink>
    </w:p>
    <w:p w:rsidR="00376780" w:rsidRPr="002108E9" w:rsidRDefault="00CC0BA6" w:rsidP="00376780">
      <w:pPr>
        <w:pStyle w:val="FootnoteText"/>
        <w:contextualSpacing/>
        <w:rPr>
          <w:rFonts w:ascii="Garamond" w:hAnsi="Garamond"/>
        </w:rPr>
      </w:pPr>
      <w:hyperlink r:id="rId76" w:history="1">
        <w:r w:rsidR="00376780" w:rsidRPr="002108E9">
          <w:rPr>
            <w:rStyle w:val="Hyperlink"/>
            <w:rFonts w:ascii="Garamond" w:hAnsi="Garamond"/>
            <w:szCs w:val="22"/>
          </w:rPr>
          <w:t>http://www.city-data.com/city/St.-Anthony-Idaho.html</w:t>
        </w:r>
      </w:hyperlink>
    </w:p>
    <w:p w:rsidR="00376780" w:rsidRPr="002108E9" w:rsidRDefault="00376780" w:rsidP="00376780">
      <w:pPr>
        <w:pStyle w:val="FootnoteText"/>
        <w:contextualSpacing/>
        <w:rPr>
          <w:rFonts w:ascii="Garamond" w:hAnsi="Garamond"/>
        </w:rPr>
      </w:pPr>
    </w:p>
    <w:p w:rsidR="00376780" w:rsidRPr="002108E9" w:rsidRDefault="00CC0BA6" w:rsidP="00376780">
      <w:pPr>
        <w:pStyle w:val="FootnoteText"/>
        <w:contextualSpacing/>
        <w:rPr>
          <w:rFonts w:ascii="Garamond" w:hAnsi="Garamond"/>
        </w:rPr>
      </w:pPr>
      <w:hyperlink r:id="rId77" w:history="1">
        <w:r w:rsidR="00376780" w:rsidRPr="002108E9">
          <w:rPr>
            <w:rStyle w:val="Hyperlink"/>
            <w:rFonts w:ascii="Garamond" w:hAnsi="Garamond"/>
          </w:rPr>
          <w:t>http://factfinder2.census.gov/faces/tableservices/jsf/pages/productview.xhtml?pid=ACS_10_5YR_DP03&amp;prodType=table</w:t>
        </w:r>
      </w:hyperlink>
    </w:p>
    <w:p w:rsidR="00376780" w:rsidRPr="002108E9" w:rsidRDefault="00376780" w:rsidP="00376780">
      <w:pPr>
        <w:pStyle w:val="FootnoteText"/>
        <w:contextualSpacing/>
        <w:rPr>
          <w:rFonts w:ascii="Garamond" w:hAnsi="Garamond"/>
        </w:rPr>
      </w:pPr>
    </w:p>
    <w:p w:rsidR="00376780" w:rsidRPr="002108E9" w:rsidRDefault="00CC0BA6" w:rsidP="00376780">
      <w:pPr>
        <w:pStyle w:val="FootnoteText"/>
        <w:rPr>
          <w:rFonts w:ascii="Garamond" w:hAnsi="Garamond"/>
        </w:rPr>
      </w:pPr>
      <w:hyperlink r:id="rId78" w:history="1">
        <w:r w:rsidR="00376780" w:rsidRPr="002108E9">
          <w:rPr>
            <w:rStyle w:val="Hyperlink"/>
            <w:rFonts w:ascii="Garamond" w:hAnsi="Garamond"/>
          </w:rPr>
          <w:t>http://factfinder2.census.gov/faces/tableservices/jsf/pages/productview.xhtml?pid=ACS_10_5YR_DP04&amp;prodType=table</w:t>
        </w:r>
      </w:hyperlink>
    </w:p>
    <w:p w:rsidR="00376780" w:rsidRPr="002108E9" w:rsidRDefault="00376780" w:rsidP="00376780">
      <w:pPr>
        <w:pStyle w:val="FootnoteText"/>
        <w:rPr>
          <w:rFonts w:ascii="Garamond" w:hAnsi="Garamond"/>
        </w:rPr>
      </w:pPr>
    </w:p>
    <w:p w:rsidR="005F2BB0" w:rsidRPr="00956365" w:rsidRDefault="00CC0BA6" w:rsidP="00956365">
      <w:hyperlink r:id="rId79" w:history="1">
        <w:r w:rsidR="00376780" w:rsidRPr="002108E9">
          <w:rPr>
            <w:rStyle w:val="Hyperlink"/>
          </w:rPr>
          <w:t>http://www.trulia.com/for_sale/Saint_Anthony,ID/x_map/</w:t>
        </w:r>
      </w:hyperlink>
      <w:r w:rsidRPr="00CC0BA6">
        <w:rPr>
          <w:noProof/>
          <w:sz w:val="40"/>
          <w:szCs w:val="40"/>
          <w:lang w:eastAsia="zh-TW"/>
        </w:rPr>
        <w:pict>
          <v:shape id="_x0000_s1033" type="#_x0000_t202" style="position:absolute;margin-left:-24.4pt;margin-top:312.05pt;width:96.7pt;height:37.9pt;z-index:251673600;mso-height-percent:200;mso-position-horizontal-relative:text;mso-position-vertical-relative:text;mso-height-percent:200;mso-width-relative:margin;mso-height-relative:margin" stroked="f">
            <v:textbox style="mso-next-textbox:#_x0000_s1033;mso-fit-shape-to-text:t">
              <w:txbxContent>
                <w:p w:rsidR="001B6FFE" w:rsidRPr="005F2BB0" w:rsidRDefault="001B6FFE">
                  <w:pPr>
                    <w:rPr>
                      <w:sz w:val="32"/>
                      <w:szCs w:val="32"/>
                    </w:rPr>
                  </w:pPr>
                </w:p>
              </w:txbxContent>
            </v:textbox>
          </v:shape>
        </w:pict>
      </w:r>
    </w:p>
    <w:sectPr w:rsidR="005F2BB0" w:rsidRPr="00956365" w:rsidSect="00DE29D5">
      <w:footerReference w:type="default" r:id="rId8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FFE" w:rsidRDefault="001B6FFE" w:rsidP="003654B7">
      <w:pPr>
        <w:spacing w:after="0" w:line="240" w:lineRule="auto"/>
      </w:pPr>
      <w:r>
        <w:separator/>
      </w:r>
    </w:p>
  </w:endnote>
  <w:endnote w:type="continuationSeparator" w:id="0">
    <w:p w:rsidR="001B6FFE" w:rsidRDefault="001B6FFE" w:rsidP="00365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967417"/>
      <w:docPartObj>
        <w:docPartGallery w:val="Page Numbers (Bottom of Page)"/>
        <w:docPartUnique/>
      </w:docPartObj>
    </w:sdtPr>
    <w:sdtContent>
      <w:p w:rsidR="001B6FFE" w:rsidRDefault="001B6FFE">
        <w:pPr>
          <w:pStyle w:val="Footer"/>
          <w:jc w:val="right"/>
        </w:pPr>
        <w:fldSimple w:instr=" PAGE   \* MERGEFORMAT ">
          <w:r w:rsidR="00707511">
            <w:rPr>
              <w:noProof/>
            </w:rPr>
            <w:t>3</w:t>
          </w:r>
        </w:fldSimple>
      </w:p>
    </w:sdtContent>
  </w:sdt>
  <w:p w:rsidR="001B6FFE" w:rsidRDefault="001B6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FFE" w:rsidRDefault="001B6FFE" w:rsidP="003654B7">
      <w:pPr>
        <w:spacing w:after="0" w:line="240" w:lineRule="auto"/>
      </w:pPr>
      <w:r>
        <w:separator/>
      </w:r>
    </w:p>
  </w:footnote>
  <w:footnote w:type="continuationSeparator" w:id="0">
    <w:p w:rsidR="001B6FFE" w:rsidRDefault="001B6FFE" w:rsidP="003654B7">
      <w:pPr>
        <w:spacing w:after="0" w:line="240" w:lineRule="auto"/>
      </w:pPr>
      <w:r>
        <w:continuationSeparator/>
      </w:r>
    </w:p>
  </w:footnote>
  <w:footnote w:id="1">
    <w:p w:rsidR="001B6FFE" w:rsidRPr="00A54683" w:rsidRDefault="001B6FFE">
      <w:pPr>
        <w:pStyle w:val="FootnoteText"/>
        <w:rPr>
          <w:rFonts w:ascii="Garamond" w:hAnsi="Garamond"/>
          <w:color w:val="000000"/>
        </w:rPr>
      </w:pPr>
      <w:r w:rsidRPr="00CE6657">
        <w:rPr>
          <w:rStyle w:val="FootnoteReference"/>
          <w:rFonts w:ascii="Garamond" w:hAnsi="Garamond"/>
        </w:rPr>
        <w:footnoteRef/>
      </w:r>
      <w:r w:rsidRPr="00CE6657">
        <w:rPr>
          <w:rFonts w:ascii="Garamond" w:hAnsi="Garamond"/>
        </w:rPr>
        <w:t xml:space="preserve"> </w:t>
      </w:r>
      <w:hyperlink r:id="rId1" w:history="1">
        <w:r w:rsidRPr="00B9381B">
          <w:rPr>
            <w:rStyle w:val="Hyperlink"/>
            <w:rFonts w:ascii="Garamond" w:hAnsi="Garamond"/>
          </w:rPr>
          <w:t>http://quickfacts.census.gov/qfd/states/16/16081.html</w:t>
        </w:r>
      </w:hyperlink>
    </w:p>
  </w:footnote>
  <w:footnote w:id="2">
    <w:p w:rsidR="001B6FFE" w:rsidRPr="00A54683" w:rsidRDefault="001B6FFE">
      <w:pPr>
        <w:pStyle w:val="FootnoteText"/>
        <w:rPr>
          <w:rFonts w:ascii="Garamond" w:hAnsi="Garamond"/>
        </w:rPr>
      </w:pPr>
      <w:r>
        <w:rPr>
          <w:rStyle w:val="FootnoteReference"/>
        </w:rPr>
        <w:footnoteRef/>
      </w:r>
      <w:r>
        <w:t xml:space="preserve"> </w:t>
      </w:r>
      <w:hyperlink r:id="rId2" w:history="1">
        <w:r w:rsidRPr="00B9381B">
          <w:rPr>
            <w:rStyle w:val="Hyperlink"/>
            <w:rFonts w:ascii="Garamond" w:hAnsi="Garamond"/>
          </w:rPr>
          <w:t>http://www2.byui.edu/IR/stats/studentsf00.htm</w:t>
        </w:r>
      </w:hyperlink>
    </w:p>
  </w:footnote>
  <w:footnote w:id="3">
    <w:p w:rsidR="001B6FFE" w:rsidRPr="00A54683" w:rsidRDefault="001B6FFE">
      <w:pPr>
        <w:pStyle w:val="FootnoteText"/>
        <w:rPr>
          <w:rFonts w:ascii="Garamond" w:hAnsi="Garamond"/>
        </w:rPr>
      </w:pPr>
      <w:r>
        <w:rPr>
          <w:rStyle w:val="FootnoteReference"/>
        </w:rPr>
        <w:footnoteRef/>
      </w:r>
      <w:r>
        <w:t xml:space="preserve"> </w:t>
      </w:r>
      <w:hyperlink r:id="rId3" w:history="1">
        <w:r w:rsidRPr="00B9381B">
          <w:rPr>
            <w:rStyle w:val="Hyperlink"/>
            <w:rFonts w:ascii="Garamond" w:hAnsi="Garamond"/>
          </w:rPr>
          <w:t>http://www2.byui.edu/IR/stats/studentsf10.htm</w:t>
        </w:r>
      </w:hyperlink>
    </w:p>
  </w:footnote>
  <w:footnote w:id="4">
    <w:p w:rsidR="001B6FFE" w:rsidRPr="00A54683" w:rsidRDefault="001B6FFE" w:rsidP="00A8562B">
      <w:pPr>
        <w:pStyle w:val="FootnoteText"/>
        <w:rPr>
          <w:rFonts w:ascii="Garamond" w:hAnsi="Garamond"/>
          <w:color w:val="000000"/>
        </w:rPr>
      </w:pPr>
      <w:r>
        <w:rPr>
          <w:rStyle w:val="FootnoteReference"/>
        </w:rPr>
        <w:footnoteRef/>
      </w:r>
      <w:hyperlink r:id="rId4" w:history="1">
        <w:r w:rsidRPr="00B9381B">
          <w:rPr>
            <w:rStyle w:val="Hyperlink"/>
            <w:rFonts w:ascii="Garamond" w:hAnsi="Garamond"/>
          </w:rPr>
          <w:t>http://factfinder2.census.gov/faces/tableservices/jsf/pages/productview.xhtml?pid=DEC_10_DP_DPDP1&amp;prodType=table</w:t>
        </w:r>
      </w:hyperlink>
    </w:p>
  </w:footnote>
  <w:footnote w:id="5">
    <w:p w:rsidR="001B6FFE" w:rsidRPr="009647E3" w:rsidRDefault="001B6FFE">
      <w:pPr>
        <w:pStyle w:val="FootnoteText"/>
        <w:rPr>
          <w:rFonts w:ascii="Garamond" w:hAnsi="Garamond"/>
        </w:rPr>
      </w:pPr>
      <w:r>
        <w:rPr>
          <w:rStyle w:val="FootnoteReference"/>
        </w:rPr>
        <w:footnoteRef/>
      </w:r>
      <w:r>
        <w:t xml:space="preserve"> </w:t>
      </w:r>
      <w:r w:rsidRPr="000139B6">
        <w:rPr>
          <w:rFonts w:ascii="Garamond" w:hAnsi="Garamond"/>
        </w:rPr>
        <w:t>http://www2.byui.edu/IR/stats/age_10.htm</w:t>
      </w:r>
    </w:p>
  </w:footnote>
  <w:footnote w:id="6">
    <w:p w:rsidR="001B6FFE" w:rsidRPr="002A7C62" w:rsidRDefault="001B6FFE" w:rsidP="00A8562B">
      <w:pPr>
        <w:pStyle w:val="FootnoteText"/>
        <w:rPr>
          <w:rFonts w:ascii="Garamond" w:hAnsi="Garamond"/>
        </w:rPr>
      </w:pPr>
      <w:r>
        <w:rPr>
          <w:rStyle w:val="FootnoteReference"/>
        </w:rPr>
        <w:footnoteRef/>
      </w:r>
      <w:r w:rsidRPr="002A7C62">
        <w:rPr>
          <w:rFonts w:ascii="Garamond" w:hAnsi="Garamond"/>
          <w:color w:val="000000"/>
        </w:rPr>
        <w:t>http://factfinder2.census.gov/faces/tableservices/jsf/pages/productview.xhtml?pid=ACS_10_5YR_DP03&amp;prodType=table</w:t>
      </w:r>
    </w:p>
  </w:footnote>
  <w:footnote w:id="7">
    <w:p w:rsidR="001B6FFE" w:rsidRPr="00237D4D" w:rsidRDefault="001B6FFE" w:rsidP="00ED17A9">
      <w:r>
        <w:rPr>
          <w:rStyle w:val="FootnoteReference"/>
        </w:rPr>
        <w:footnoteRef/>
      </w:r>
      <w:r w:rsidRPr="00237D4D">
        <w:rPr>
          <w:color w:val="000000"/>
        </w:rPr>
        <w:t>http://factfinder2.census.gov/faces/tableservices/jsf/pages/productview.xhtml?pid=ACS_10_SF4_DP03&amp;prodType=table</w:t>
      </w:r>
    </w:p>
    <w:p w:rsidR="001B6FFE" w:rsidRDefault="001B6FFE" w:rsidP="00ED17A9">
      <w:pPr>
        <w:pStyle w:val="FootnoteText"/>
      </w:pPr>
    </w:p>
  </w:footnote>
  <w:footnote w:id="8">
    <w:p w:rsidR="001B6FFE" w:rsidRDefault="001B6FFE" w:rsidP="00A8562B">
      <w:pPr>
        <w:pStyle w:val="FootnoteText"/>
      </w:pPr>
      <w:r>
        <w:rPr>
          <w:rStyle w:val="FootnoteReference"/>
        </w:rPr>
        <w:footnoteRef/>
      </w:r>
      <w:r w:rsidRPr="008C0484">
        <w:rPr>
          <w:rFonts w:ascii="Garamond" w:hAnsi="Garamond"/>
          <w:color w:val="000000"/>
        </w:rPr>
        <w:t>http://factfinder2.census.gov/faces/tableservices/jsf/pages/productview.xhtml?pid=ACS_10_3YR_DP04&amp;prodType=table</w:t>
      </w:r>
    </w:p>
  </w:footnote>
  <w:footnote w:id="9">
    <w:p w:rsidR="001B6FFE" w:rsidRPr="009F34C8" w:rsidRDefault="001B6FFE" w:rsidP="00A8562B">
      <w:r>
        <w:rPr>
          <w:rStyle w:val="FootnoteReference"/>
        </w:rPr>
        <w:footnoteRef/>
      </w:r>
      <w:r>
        <w:t xml:space="preserve"> </w:t>
      </w:r>
      <w:r w:rsidRPr="00052804">
        <w:t>http://www.fhamortgagecenter.com/fha-blog/debt-to-income-and-fha/</w:t>
      </w:r>
    </w:p>
  </w:footnote>
  <w:footnote w:id="10">
    <w:p w:rsidR="001B6FFE" w:rsidRDefault="001B6FFE" w:rsidP="007941A2">
      <w:pPr>
        <w:pStyle w:val="FootnoteText"/>
        <w:rPr>
          <w:rFonts w:ascii="Garamond" w:hAnsi="Garamond"/>
          <w:color w:val="000000"/>
        </w:rPr>
      </w:pPr>
      <w:r>
        <w:rPr>
          <w:rStyle w:val="FootnoteReference"/>
        </w:rPr>
        <w:footnoteRef/>
      </w:r>
      <w:r w:rsidRPr="00873896">
        <w:rPr>
          <w:rFonts w:ascii="Garamond" w:hAnsi="Garamond"/>
          <w:color w:val="000000"/>
        </w:rPr>
        <w:t>http://factfinder2.census.gov/faces/tableservices/jsf/pages/productview.xhtml?pid=ACS_10_3Y</w:t>
      </w:r>
    </w:p>
    <w:p w:rsidR="001B6FFE" w:rsidRPr="00873896" w:rsidRDefault="001B6FFE" w:rsidP="007941A2">
      <w:pPr>
        <w:pStyle w:val="FootnoteText"/>
        <w:rPr>
          <w:rFonts w:ascii="Garamond" w:hAnsi="Garamond"/>
        </w:rPr>
      </w:pPr>
      <w:r w:rsidRPr="00873896">
        <w:rPr>
          <w:rFonts w:ascii="Garamond" w:hAnsi="Garamond"/>
          <w:color w:val="000000"/>
        </w:rPr>
        <w:t>R_DP04&amp;prodType=table</w:t>
      </w:r>
    </w:p>
  </w:footnote>
  <w:footnote w:id="11">
    <w:p w:rsidR="001B6FFE" w:rsidRPr="00F8401B" w:rsidRDefault="001B6FFE" w:rsidP="00BC10AC">
      <w:pPr>
        <w:pStyle w:val="FootnoteText"/>
        <w:rPr>
          <w:rFonts w:ascii="Garamond" w:hAnsi="Garamond"/>
        </w:rPr>
      </w:pPr>
      <w:r w:rsidRPr="00F8401B">
        <w:rPr>
          <w:rStyle w:val="FootnoteReference"/>
          <w:rFonts w:ascii="Garamond" w:hAnsi="Garamond"/>
        </w:rPr>
        <w:footnoteRef/>
      </w:r>
      <w:r w:rsidRPr="00F8401B">
        <w:rPr>
          <w:rFonts w:ascii="Garamond" w:hAnsi="Garamond"/>
          <w:color w:val="000000"/>
        </w:rPr>
        <w:t>http://factfinder2.census.gov/faces/tableservices/jsf/pages/productview.xhtml?pid=ACS_10_3YR_DP04&amp;prodType=table</w:t>
      </w:r>
    </w:p>
  </w:footnote>
  <w:footnote w:id="12">
    <w:p w:rsidR="001B6FFE" w:rsidRPr="00F8401B" w:rsidRDefault="001B6FFE">
      <w:pPr>
        <w:pStyle w:val="FootnoteText"/>
        <w:rPr>
          <w:rFonts w:ascii="Garamond" w:hAnsi="Garamond"/>
        </w:rPr>
      </w:pPr>
      <w:r w:rsidRPr="00F8401B">
        <w:rPr>
          <w:rStyle w:val="FootnoteReference"/>
          <w:rFonts w:ascii="Garamond" w:hAnsi="Garamond"/>
        </w:rPr>
        <w:footnoteRef/>
      </w:r>
      <w:r w:rsidRPr="00F8401B">
        <w:rPr>
          <w:rFonts w:ascii="Garamond" w:hAnsi="Garamond"/>
          <w:color w:val="000000"/>
        </w:rPr>
        <w:t>http://factfinder2.census.gov/faces/tableservices/jsf/pages/productview.xhtml?pid=DEC_10_SF1_QTH1&amp;prodType=table</w:t>
      </w:r>
    </w:p>
  </w:footnote>
  <w:footnote w:id="13">
    <w:p w:rsidR="001B6FFE" w:rsidRDefault="001B6FFE">
      <w:pPr>
        <w:pStyle w:val="FootnoteText"/>
      </w:pPr>
      <w:r w:rsidRPr="00F8401B">
        <w:rPr>
          <w:rStyle w:val="FootnoteReference"/>
          <w:rFonts w:ascii="Garamond" w:hAnsi="Garamond"/>
        </w:rPr>
        <w:footnoteRef/>
      </w:r>
      <w:r w:rsidRPr="00F8401B">
        <w:rPr>
          <w:rFonts w:ascii="Garamond" w:hAnsi="Garamond"/>
          <w:color w:val="000000"/>
        </w:rPr>
        <w:t>http://www.usamls.net/snakeriver/default.asp?content=results&amp;menu_id=19719&amp;this_format=1&amp;query_id=121168588&amp;sortby=2</w:t>
      </w:r>
    </w:p>
  </w:footnote>
  <w:footnote w:id="14">
    <w:p w:rsidR="001B6FFE" w:rsidRPr="00765706" w:rsidRDefault="001B6FFE" w:rsidP="00A8562B">
      <w:pPr>
        <w:pStyle w:val="FootnoteText"/>
        <w:rPr>
          <w:rFonts w:ascii="Garamond" w:hAnsi="Garamond"/>
        </w:rPr>
      </w:pPr>
      <w:r w:rsidRPr="00765706">
        <w:rPr>
          <w:rStyle w:val="FootnoteReference"/>
          <w:rFonts w:ascii="Garamond" w:hAnsi="Garamond"/>
        </w:rPr>
        <w:footnoteRef/>
      </w:r>
      <w:r w:rsidRPr="00765706">
        <w:rPr>
          <w:rFonts w:ascii="Garamond" w:hAnsi="Garamond"/>
        </w:rPr>
        <w:t xml:space="preserve"> </w:t>
      </w:r>
      <w:hyperlink r:id="rId5" w:history="1">
        <w:r w:rsidRPr="00765706">
          <w:rPr>
            <w:rStyle w:val="Hyperlink"/>
            <w:rFonts w:ascii="Garamond" w:hAnsi="Garamond"/>
          </w:rPr>
          <w:t>http://quickfacts.census.gov/qfd/states/16/16043.html</w:t>
        </w:r>
      </w:hyperlink>
    </w:p>
  </w:footnote>
  <w:footnote w:id="15">
    <w:p w:rsidR="001B6FFE" w:rsidRDefault="001B6FFE">
      <w:pPr>
        <w:pStyle w:val="FootnoteText"/>
      </w:pPr>
      <w:r>
        <w:rPr>
          <w:rStyle w:val="FootnoteReference"/>
        </w:rPr>
        <w:footnoteRef/>
      </w:r>
      <w:hyperlink r:id="rId6" w:history="1">
        <w:r w:rsidRPr="00765706">
          <w:rPr>
            <w:rStyle w:val="Hyperlink"/>
            <w:rFonts w:ascii="Garamond" w:hAnsi="Garamond"/>
          </w:rPr>
          <w:t>http://factfinder2.census.gov/faces/tableservices/jsf/pages/productview.xhtml?pid=DEC_10_DP_DPDP1&amp;prodType=table</w:t>
        </w:r>
      </w:hyperlink>
    </w:p>
  </w:footnote>
  <w:footnote w:id="16">
    <w:p w:rsidR="001B6FFE" w:rsidRPr="002A7C62" w:rsidRDefault="001B6FFE" w:rsidP="00A8562B">
      <w:pPr>
        <w:pStyle w:val="FootnoteText"/>
        <w:rPr>
          <w:rFonts w:ascii="Garamond" w:hAnsi="Garamond"/>
        </w:rPr>
      </w:pPr>
      <w:r w:rsidRPr="00765706">
        <w:rPr>
          <w:rStyle w:val="FootnoteReference"/>
          <w:rFonts w:ascii="Garamond" w:hAnsi="Garamond"/>
        </w:rPr>
        <w:footnoteRef/>
      </w:r>
      <w:hyperlink r:id="rId7" w:history="1">
        <w:r w:rsidRPr="00765706">
          <w:rPr>
            <w:rStyle w:val="Hyperlink"/>
            <w:rFonts w:ascii="Garamond" w:hAnsi="Garamond"/>
          </w:rPr>
          <w:t>http://factfinder2.census.gov/faces/tableservices/jsf/pages/productview.xhtml?pid=ACS_10_5YR_DP03&amp;prodType=table</w:t>
        </w:r>
      </w:hyperlink>
    </w:p>
  </w:footnote>
  <w:footnote w:id="17">
    <w:p w:rsidR="001B6FFE" w:rsidRPr="00765706" w:rsidRDefault="001B6FFE" w:rsidP="00A8562B">
      <w:pPr>
        <w:pStyle w:val="FootnoteText"/>
        <w:rPr>
          <w:rFonts w:ascii="Garamond" w:hAnsi="Garamond"/>
        </w:rPr>
      </w:pPr>
      <w:r w:rsidRPr="00765706">
        <w:rPr>
          <w:rStyle w:val="FootnoteReference"/>
          <w:rFonts w:ascii="Garamond" w:hAnsi="Garamond"/>
        </w:rPr>
        <w:footnoteRef/>
      </w:r>
      <w:r w:rsidRPr="00765706">
        <w:rPr>
          <w:rFonts w:ascii="Garamond" w:hAnsi="Garamond"/>
        </w:rPr>
        <w:t xml:space="preserve">(U.S. Census Bureau) </w:t>
      </w:r>
      <w:hyperlink r:id="rId8" w:history="1">
        <w:r w:rsidRPr="00765706">
          <w:rPr>
            <w:rStyle w:val="Hyperlink"/>
            <w:rFonts w:ascii="Garamond" w:hAnsi="Garamond"/>
          </w:rPr>
          <w:t>http://factfinder2.census.gov/faces/tableservices/jsf/pages/productview.xhtml?pid=ACS_10_5YR_DP03&amp;prodType=table</w:t>
        </w:r>
      </w:hyperlink>
    </w:p>
  </w:footnote>
  <w:footnote w:id="18">
    <w:p w:rsidR="001B6FFE" w:rsidRDefault="001B6FFE" w:rsidP="00A76E8D">
      <w:pPr>
        <w:pStyle w:val="FootnoteText"/>
        <w:rPr>
          <w:rFonts w:ascii="Garamond" w:hAnsi="Garamond"/>
        </w:rPr>
      </w:pPr>
      <w:r w:rsidRPr="00765706">
        <w:rPr>
          <w:rStyle w:val="FootnoteReference"/>
          <w:rFonts w:ascii="Garamond" w:hAnsi="Garamond"/>
        </w:rPr>
        <w:footnoteRef/>
      </w:r>
      <w:r w:rsidRPr="00765706">
        <w:rPr>
          <w:rFonts w:ascii="Garamond" w:hAnsi="Garamond"/>
        </w:rPr>
        <w:t xml:space="preserve"> (U.S Census Bureau)</w:t>
      </w:r>
    </w:p>
    <w:p w:rsidR="001B6FFE" w:rsidRPr="00765706" w:rsidRDefault="001B6FFE" w:rsidP="00A76E8D">
      <w:pPr>
        <w:pStyle w:val="FootnoteText"/>
        <w:rPr>
          <w:rFonts w:ascii="Garamond" w:hAnsi="Garamond"/>
        </w:rPr>
      </w:pPr>
      <w:hyperlink r:id="rId9" w:history="1">
        <w:r w:rsidRPr="00765706">
          <w:rPr>
            <w:rStyle w:val="Hyperlink"/>
            <w:rFonts w:ascii="Garamond" w:hAnsi="Garamond"/>
          </w:rPr>
          <w:t>http://factfinder2.census.gov/faces/tableservices/jsf/pages/productview.xhtml?pid=DEC_10_SF1_QTH1&amp;prodType=table</w:t>
        </w:r>
      </w:hyperlink>
    </w:p>
  </w:footnote>
  <w:footnote w:id="19">
    <w:p w:rsidR="001B6FFE" w:rsidRDefault="001B6FFE" w:rsidP="00A76E8D">
      <w:pPr>
        <w:pStyle w:val="FootnoteText"/>
        <w:rPr>
          <w:rFonts w:ascii="Garamond" w:hAnsi="Garamond"/>
        </w:rPr>
      </w:pPr>
      <w:r w:rsidRPr="00765706">
        <w:rPr>
          <w:rStyle w:val="FootnoteReference"/>
          <w:rFonts w:ascii="Garamond" w:hAnsi="Garamond"/>
        </w:rPr>
        <w:footnoteRef/>
      </w:r>
      <w:r w:rsidRPr="00765706">
        <w:rPr>
          <w:rFonts w:ascii="Garamond" w:hAnsi="Garamond"/>
        </w:rPr>
        <w:t xml:space="preserve"> (U.S Census Bureau)</w:t>
      </w:r>
    </w:p>
    <w:p w:rsidR="001B6FFE" w:rsidRPr="00765706" w:rsidRDefault="001B6FFE" w:rsidP="00A76E8D">
      <w:pPr>
        <w:pStyle w:val="FootnoteText"/>
        <w:rPr>
          <w:rFonts w:ascii="Garamond" w:hAnsi="Garamond"/>
        </w:rPr>
      </w:pPr>
      <w:hyperlink r:id="rId10" w:history="1">
        <w:r w:rsidRPr="00765706">
          <w:rPr>
            <w:rStyle w:val="Hyperlink"/>
            <w:rFonts w:ascii="Garamond" w:hAnsi="Garamond"/>
          </w:rPr>
          <w:t>http://factfinder2.census.gov/faces/tableservices/jsf/pages/productview.xhtml?pid=ACS_10_5YR_DP04&amp;prodType=table</w:t>
        </w:r>
      </w:hyperlink>
    </w:p>
  </w:footnote>
  <w:footnote w:id="20">
    <w:p w:rsidR="001B6FFE" w:rsidRPr="00277F7A" w:rsidRDefault="001B6FFE" w:rsidP="00A8562B">
      <w:pPr>
        <w:pStyle w:val="FootnoteText"/>
        <w:rPr>
          <w:rFonts w:ascii="Garamond" w:hAnsi="Garamond"/>
        </w:rPr>
      </w:pPr>
      <w:r>
        <w:rPr>
          <w:rStyle w:val="FootnoteReference"/>
        </w:rPr>
        <w:footnoteRef/>
      </w:r>
      <w:hyperlink r:id="rId11" w:history="1">
        <w:r w:rsidRPr="00765706">
          <w:rPr>
            <w:rStyle w:val="Hyperlink"/>
            <w:rFonts w:ascii="Garamond" w:hAnsi="Garamond"/>
          </w:rPr>
          <w:t>http://factfinder2.census.gov/faces/tableservices/jsf/pages/productview.xhtml?pid=ACS_10_5YR_DP04&amp;prodType=table</w:t>
        </w:r>
      </w:hyperlink>
    </w:p>
  </w:footnote>
  <w:footnote w:id="21">
    <w:p w:rsidR="001B6FFE" w:rsidRPr="00765706" w:rsidRDefault="001B6FFE">
      <w:pPr>
        <w:pStyle w:val="FootnoteText"/>
        <w:rPr>
          <w:rFonts w:ascii="Garamond" w:hAnsi="Garamond"/>
        </w:rPr>
      </w:pPr>
      <w:r w:rsidRPr="00765706">
        <w:rPr>
          <w:rStyle w:val="FootnoteReference"/>
          <w:rFonts w:ascii="Garamond" w:hAnsi="Garamond"/>
        </w:rPr>
        <w:footnoteRef/>
      </w:r>
      <w:r w:rsidRPr="00765706">
        <w:rPr>
          <w:rFonts w:ascii="Garamond" w:hAnsi="Garamond"/>
        </w:rPr>
        <w:t>(U.SCensusBureau)</w:t>
      </w:r>
      <w:hyperlink r:id="rId12" w:history="1">
        <w:r w:rsidRPr="00765706">
          <w:rPr>
            <w:rStyle w:val="Hyperlink"/>
            <w:rFonts w:ascii="Garamond" w:hAnsi="Garamond"/>
          </w:rPr>
          <w:t>http://factfinder2.census.gov/faces/tableservices/jsf/pages/productview.xhtml?pid=DEC_10_SF1_QTH1&amp;prodType=table</w:t>
        </w:r>
      </w:hyperlink>
    </w:p>
  </w:footnote>
  <w:footnote w:id="22">
    <w:p w:rsidR="001B6FFE" w:rsidRPr="00277F7A" w:rsidRDefault="001B6FFE">
      <w:pPr>
        <w:pStyle w:val="FootnoteText"/>
        <w:rPr>
          <w:rFonts w:ascii="Garamond" w:hAnsi="Garamond"/>
        </w:rPr>
      </w:pPr>
      <w:r w:rsidRPr="00765706">
        <w:rPr>
          <w:rStyle w:val="FootnoteReference"/>
          <w:rFonts w:ascii="Garamond" w:hAnsi="Garamond"/>
        </w:rPr>
        <w:footnoteRef/>
      </w:r>
      <w:r w:rsidRPr="00765706">
        <w:rPr>
          <w:rFonts w:ascii="Garamond" w:hAnsi="Garamond"/>
        </w:rPr>
        <w:t xml:space="preserve"> </w:t>
      </w:r>
      <w:hyperlink r:id="rId13" w:history="1">
        <w:r w:rsidRPr="00765706">
          <w:rPr>
            <w:rStyle w:val="Hyperlink"/>
            <w:rFonts w:ascii="Garamond" w:hAnsi="Garamond"/>
          </w:rPr>
          <w:t>http://www.zillow.com/homes/fremont-county-ID_rb/</w:t>
        </w:r>
      </w:hyperlink>
    </w:p>
  </w:footnote>
  <w:footnote w:id="23">
    <w:p w:rsidR="001B6FFE" w:rsidRPr="00AF4723" w:rsidRDefault="001B6FFE">
      <w:pPr>
        <w:pStyle w:val="FootnoteText"/>
        <w:rPr>
          <w:rFonts w:ascii="Garamond" w:hAnsi="Garamond"/>
        </w:rPr>
      </w:pPr>
      <w:r w:rsidRPr="00AF4723">
        <w:rPr>
          <w:rStyle w:val="FootnoteReference"/>
          <w:rFonts w:ascii="Garamond" w:hAnsi="Garamond"/>
        </w:rPr>
        <w:footnoteRef/>
      </w:r>
      <w:r w:rsidRPr="00AF4723">
        <w:rPr>
          <w:rFonts w:ascii="Garamond" w:hAnsi="Garamond"/>
        </w:rPr>
        <w:t xml:space="preserve"> </w:t>
      </w:r>
      <w:hyperlink r:id="rId14" w:history="1">
        <w:r w:rsidRPr="00AF4723">
          <w:rPr>
            <w:rStyle w:val="Hyperlink"/>
            <w:rFonts w:ascii="Garamond" w:hAnsi="Garamond"/>
          </w:rPr>
          <w:t>http://quickfacts.census.gov/qfd/states/16/16081.html</w:t>
        </w:r>
      </w:hyperlink>
    </w:p>
  </w:footnote>
  <w:footnote w:id="24">
    <w:p w:rsidR="001B6FFE" w:rsidRPr="00AF4723" w:rsidRDefault="001B6FFE" w:rsidP="00A8562B">
      <w:pPr>
        <w:pStyle w:val="FootnoteText"/>
        <w:rPr>
          <w:rFonts w:ascii="Garamond" w:hAnsi="Garamond"/>
        </w:rPr>
      </w:pPr>
      <w:r w:rsidRPr="00AF4723">
        <w:rPr>
          <w:rStyle w:val="FootnoteReference"/>
          <w:rFonts w:ascii="Garamond" w:hAnsi="Garamond"/>
        </w:rPr>
        <w:footnoteRef/>
      </w:r>
      <w:hyperlink r:id="rId15" w:history="1">
        <w:r w:rsidRPr="00AF4723">
          <w:rPr>
            <w:rStyle w:val="Hyperlink"/>
            <w:rFonts w:ascii="Garamond" w:hAnsi="Garamond"/>
          </w:rPr>
          <w:t>http://factfinder2.census.gov/faces/tableservices/jsf/pages/productview.xhtml?pid=DEC_10_SF2_SF2DP1&amp;prodType=table</w:t>
        </w:r>
      </w:hyperlink>
    </w:p>
  </w:footnote>
  <w:footnote w:id="25">
    <w:p w:rsidR="001B6FFE" w:rsidRPr="00751292" w:rsidRDefault="001B6FFE">
      <w:pPr>
        <w:pStyle w:val="FootnoteText"/>
        <w:rPr>
          <w:rFonts w:ascii="Garamond" w:hAnsi="Garamond"/>
        </w:rPr>
      </w:pPr>
      <w:r w:rsidRPr="00AF4723">
        <w:rPr>
          <w:rStyle w:val="FootnoteReference"/>
          <w:rFonts w:ascii="Garamond" w:hAnsi="Garamond"/>
        </w:rPr>
        <w:footnoteRef/>
      </w:r>
      <w:hyperlink r:id="rId16" w:history="1">
        <w:r w:rsidRPr="00AF4723">
          <w:rPr>
            <w:rStyle w:val="Hyperlink"/>
            <w:rFonts w:ascii="Garamond" w:hAnsi="Garamond"/>
          </w:rPr>
          <w:t>http://factfinder2.census.gov/faces/tableservices/jsf/pages/productview.xhtml?pid=ACS_10_5YR_DP03&amp;prodType=table</w:t>
        </w:r>
      </w:hyperlink>
    </w:p>
  </w:footnote>
  <w:footnote w:id="26">
    <w:p w:rsidR="001B6FFE" w:rsidRPr="00C80E88" w:rsidRDefault="001B6FFE" w:rsidP="00A8562B">
      <w:pPr>
        <w:pStyle w:val="FootnoteText"/>
        <w:rPr>
          <w:rFonts w:ascii="Garamond" w:hAnsi="Garamond"/>
        </w:rPr>
      </w:pPr>
      <w:r w:rsidRPr="00AF4723">
        <w:rPr>
          <w:rStyle w:val="FootnoteReference"/>
          <w:rFonts w:ascii="Garamond" w:hAnsi="Garamond"/>
        </w:rPr>
        <w:footnoteRef/>
      </w:r>
      <w:hyperlink r:id="rId17" w:history="1">
        <w:r w:rsidRPr="00AF4723">
          <w:rPr>
            <w:rStyle w:val="Hyperlink"/>
            <w:rFonts w:ascii="Garamond" w:hAnsi="Garamond"/>
          </w:rPr>
          <w:t>http://factfinder2.census.gov/faces/tableservices/jsf/pages/productview.xhtml?pid=ACS_10_5YR_DP03&amp;prodType=table</w:t>
        </w:r>
      </w:hyperlink>
    </w:p>
  </w:footnote>
  <w:footnote w:id="27">
    <w:p w:rsidR="001B6FFE" w:rsidRDefault="001B6FFE">
      <w:pPr>
        <w:pStyle w:val="FootnoteText"/>
      </w:pPr>
      <w:r>
        <w:rPr>
          <w:rStyle w:val="FootnoteReference"/>
        </w:rPr>
        <w:footnoteRef/>
      </w:r>
      <w:hyperlink r:id="rId18" w:history="1">
        <w:r w:rsidRPr="00AF4723">
          <w:rPr>
            <w:rStyle w:val="Hyperlink"/>
            <w:rFonts w:ascii="Garamond" w:hAnsi="Garamond"/>
          </w:rPr>
          <w:t>http://factfinder2.census.gov/faces/tableservices/jsf/pages/productview.xhtml?pid=ACS_10_5YR_S2506&amp;prodType=table</w:t>
        </w:r>
      </w:hyperlink>
    </w:p>
  </w:footnote>
  <w:footnote w:id="28">
    <w:p w:rsidR="001B6FFE" w:rsidRPr="001649B9" w:rsidRDefault="001B6FFE">
      <w:pPr>
        <w:pStyle w:val="FootnoteText"/>
        <w:rPr>
          <w:rFonts w:ascii="Garamond" w:hAnsi="Garamond"/>
        </w:rPr>
      </w:pPr>
      <w:r w:rsidRPr="00AF4723">
        <w:rPr>
          <w:rStyle w:val="FootnoteReference"/>
          <w:rFonts w:ascii="Garamond" w:hAnsi="Garamond"/>
        </w:rPr>
        <w:footnoteRef/>
      </w:r>
      <w:r w:rsidRPr="00AF4723">
        <w:rPr>
          <w:rFonts w:ascii="Garamond" w:hAnsi="Garamond"/>
        </w:rPr>
        <w:t xml:space="preserve"> </w:t>
      </w:r>
      <w:hyperlink r:id="rId19" w:anchor="/homes/for_sale/Teton-County-WY/745_rid/44.682325,-108.338928,43.219188,-112.766418_rect/7_zm/0_mmm/1_fr/" w:history="1">
        <w:r w:rsidRPr="00AF4723">
          <w:rPr>
            <w:rStyle w:val="Hyperlink"/>
            <w:rFonts w:ascii="Garamond" w:hAnsi="Garamond"/>
          </w:rPr>
          <w:t>http://zillow.com/homes/teton-county_rb/#/homes/for_sale/Teton-County-WY/745_rid/44.682325,-108.338928,43.219188,-112.766418_rect/7_zm/0_mmm/1_fr/</w:t>
        </w:r>
      </w:hyperlink>
    </w:p>
  </w:footnote>
  <w:footnote w:id="29">
    <w:p w:rsidR="001B6FFE" w:rsidRPr="006F6287" w:rsidRDefault="001B6FFE">
      <w:pPr>
        <w:pStyle w:val="FootnoteText"/>
        <w:rPr>
          <w:rFonts w:ascii="Garamond" w:hAnsi="Garamond"/>
        </w:rPr>
      </w:pPr>
      <w:r w:rsidRPr="006F6287">
        <w:rPr>
          <w:rStyle w:val="FootnoteReference"/>
          <w:rFonts w:ascii="Garamond" w:hAnsi="Garamond"/>
        </w:rPr>
        <w:footnoteRef/>
      </w:r>
      <w:r w:rsidRPr="006F6287">
        <w:rPr>
          <w:rFonts w:ascii="Garamond" w:hAnsi="Garamond"/>
        </w:rPr>
        <w:t xml:space="preserve"> </w:t>
      </w:r>
      <w:hyperlink r:id="rId20" w:history="1">
        <w:r w:rsidRPr="006F6287">
          <w:rPr>
            <w:rStyle w:val="Hyperlink"/>
            <w:rFonts w:ascii="Garamond" w:hAnsi="Garamond"/>
          </w:rPr>
          <w:t>http://quickfacts.census.gov/qfd/states/56/56039.html</w:t>
        </w:r>
      </w:hyperlink>
    </w:p>
    <w:p w:rsidR="001B6FFE" w:rsidRPr="00FC0F22" w:rsidRDefault="001B6FFE">
      <w:pPr>
        <w:pStyle w:val="FootnoteText"/>
      </w:pPr>
    </w:p>
  </w:footnote>
  <w:footnote w:id="30">
    <w:p w:rsidR="001B6FFE" w:rsidRPr="00763023" w:rsidRDefault="001B6FFE">
      <w:pPr>
        <w:pStyle w:val="FootnoteText"/>
        <w:rPr>
          <w:rFonts w:ascii="Garamond" w:hAnsi="Garamond"/>
        </w:rPr>
      </w:pPr>
      <w:r>
        <w:rPr>
          <w:rStyle w:val="FootnoteReference"/>
        </w:rPr>
        <w:footnoteRef/>
      </w:r>
      <w:hyperlink r:id="rId21" w:history="1">
        <w:r w:rsidRPr="006F6287">
          <w:rPr>
            <w:rStyle w:val="Hyperlink"/>
            <w:rFonts w:ascii="Garamond" w:hAnsi="Garamond"/>
          </w:rPr>
          <w:t>http://factfinder2.census.gov/faces/tableservices/jsf/pages/productview.xhtml?pid=DEC_10_DP_DPDP1</w:t>
        </w:r>
      </w:hyperlink>
    </w:p>
  </w:footnote>
  <w:footnote w:id="31">
    <w:p w:rsidR="001B6FFE" w:rsidRDefault="001B6FFE">
      <w:pPr>
        <w:pStyle w:val="FootnoteText"/>
      </w:pPr>
      <w:r>
        <w:rPr>
          <w:rStyle w:val="FootnoteReference"/>
        </w:rPr>
        <w:footnoteRef/>
      </w:r>
      <w:r>
        <w:t xml:space="preserve"> </w:t>
      </w:r>
      <w:hyperlink r:id="rId22" w:history="1">
        <w:r w:rsidRPr="006F6287">
          <w:rPr>
            <w:rStyle w:val="Hyperlink"/>
            <w:rFonts w:ascii="Garamond" w:hAnsi="Garamond"/>
          </w:rPr>
          <w:t>http://beta.bls.gov/maps/cew/WY?period=2011-Q3&amp;industry=10&amp;geo_id=56039&amp;chartData=3&amp;distribution=Quantiles&amp;pos_color=blue&amp;neg_color=orange&amp;showHideChart=show&amp;ownerType=0</w:t>
        </w:r>
      </w:hyperlink>
    </w:p>
  </w:footnote>
  <w:footnote w:id="32">
    <w:p w:rsidR="001B6FFE" w:rsidRDefault="001B6FFE">
      <w:pPr>
        <w:pStyle w:val="FootnoteText"/>
        <w:contextualSpacing/>
      </w:pPr>
      <w:r>
        <w:rPr>
          <w:rStyle w:val="FootnoteReference"/>
        </w:rPr>
        <w:footnoteRef/>
      </w:r>
      <w:r>
        <w:t xml:space="preserve"> </w:t>
      </w:r>
      <w:r w:rsidRPr="006F6287">
        <w:rPr>
          <w:rFonts w:ascii="Garamond" w:hAnsi="Garamond"/>
        </w:rPr>
        <w:t xml:space="preserve">(U.S. Census Bureau) </w:t>
      </w:r>
      <w:hyperlink r:id="rId23" w:history="1">
        <w:r w:rsidRPr="006F6287">
          <w:rPr>
            <w:rStyle w:val="Hyperlink"/>
            <w:rFonts w:ascii="Garamond" w:hAnsi="Garamond"/>
          </w:rPr>
          <w:t>http://factfinder2.census.gov/faces/tableservices/jsf/pages/productview.xhtml?pid=ACS_10_3YR_DP03&amp;prodType=table</w:t>
        </w:r>
      </w:hyperlink>
    </w:p>
  </w:footnote>
  <w:footnote w:id="33">
    <w:p w:rsidR="001B6FFE" w:rsidRPr="006F6287" w:rsidRDefault="001B6FFE">
      <w:pPr>
        <w:pStyle w:val="FootnoteText"/>
        <w:contextualSpacing/>
        <w:rPr>
          <w:rFonts w:ascii="Garamond" w:hAnsi="Garamond"/>
        </w:rPr>
      </w:pPr>
      <w:r w:rsidRPr="006F6287">
        <w:rPr>
          <w:rStyle w:val="FootnoteReference"/>
          <w:rFonts w:ascii="Garamond" w:hAnsi="Garamond"/>
        </w:rPr>
        <w:footnoteRef/>
      </w:r>
      <w:r w:rsidRPr="006F6287">
        <w:rPr>
          <w:rFonts w:ascii="Garamond" w:hAnsi="Garamond"/>
        </w:rPr>
        <w:t xml:space="preserve"> (U.S. Census Bureau) </w:t>
      </w:r>
      <w:r w:rsidRPr="006F6287">
        <w:rPr>
          <w:rFonts w:ascii="Garamond" w:hAnsi="Garamond"/>
          <w:noProof/>
        </w:rPr>
        <w:t>(</w:t>
      </w:r>
      <w:hyperlink r:id="rId24" w:history="1">
        <w:r w:rsidRPr="006F6287">
          <w:rPr>
            <w:rStyle w:val="Hyperlink"/>
            <w:rFonts w:ascii="Garamond" w:hAnsi="Garamond"/>
            <w:noProof/>
          </w:rPr>
          <w:t>http://factfinder2.census.gov/faces/tableservices/jsf/pages/productview.xhtml?pid=ACS_10_3YR_DP04&amp;prodType=table</w:t>
        </w:r>
      </w:hyperlink>
      <w:r w:rsidRPr="006F6287">
        <w:rPr>
          <w:rFonts w:ascii="Garamond" w:hAnsi="Garamond"/>
          <w:noProof/>
        </w:rPr>
        <w:t>)</w:t>
      </w:r>
    </w:p>
  </w:footnote>
  <w:footnote w:id="34">
    <w:p w:rsidR="001B6FFE" w:rsidRPr="006F6287" w:rsidRDefault="001B6FFE">
      <w:pPr>
        <w:pStyle w:val="FootnoteText"/>
        <w:rPr>
          <w:rFonts w:ascii="Garamond" w:hAnsi="Garamond"/>
        </w:rPr>
      </w:pPr>
      <w:r w:rsidRPr="006F6287">
        <w:rPr>
          <w:rStyle w:val="FootnoteReference"/>
          <w:rFonts w:ascii="Garamond" w:hAnsi="Garamond"/>
        </w:rPr>
        <w:footnoteRef/>
      </w:r>
      <w:r w:rsidRPr="006F6287">
        <w:rPr>
          <w:rFonts w:ascii="Garamond" w:hAnsi="Garamond"/>
        </w:rPr>
        <w:t xml:space="preserve"> (U.S Census Bureau) </w:t>
      </w:r>
      <w:r w:rsidRPr="006F6287">
        <w:rPr>
          <w:rFonts w:ascii="Garamond" w:hAnsi="Garamond"/>
          <w:noProof/>
        </w:rPr>
        <w:t>(</w:t>
      </w:r>
      <w:hyperlink r:id="rId25" w:history="1">
        <w:r w:rsidRPr="006F6287">
          <w:rPr>
            <w:rStyle w:val="Hyperlink"/>
            <w:rFonts w:ascii="Garamond" w:hAnsi="Garamond"/>
            <w:noProof/>
          </w:rPr>
          <w:t>http://factfinder2.census.gov/faces/tableservices/jsf/pages/productview.xhtml?pid=DEC_10_DP_DPDP1&amp;prodType=table</w:t>
        </w:r>
      </w:hyperlink>
    </w:p>
  </w:footnote>
  <w:footnote w:id="35">
    <w:p w:rsidR="001B6FFE" w:rsidRPr="007203B8" w:rsidRDefault="001B6FFE">
      <w:pPr>
        <w:pStyle w:val="FootnoteText"/>
        <w:rPr>
          <w:rFonts w:ascii="Garamond" w:hAnsi="Garamond"/>
        </w:rPr>
      </w:pPr>
      <w:r w:rsidRPr="006F6287">
        <w:rPr>
          <w:rStyle w:val="FootnoteReference"/>
          <w:rFonts w:ascii="Garamond" w:hAnsi="Garamond"/>
        </w:rPr>
        <w:footnoteRef/>
      </w:r>
      <w:r w:rsidRPr="006F6287">
        <w:rPr>
          <w:rFonts w:ascii="Garamond" w:hAnsi="Garamond"/>
        </w:rPr>
        <w:t xml:space="preserve"> (Wyoming CDA) </w:t>
      </w:r>
      <w:r w:rsidRPr="006F6287">
        <w:rPr>
          <w:rFonts w:ascii="Garamond" w:hAnsi="Garamond"/>
          <w:noProof/>
        </w:rPr>
        <w:t>(</w:t>
      </w:r>
      <w:hyperlink r:id="rId26" w:history="1">
        <w:r w:rsidRPr="006F6287">
          <w:rPr>
            <w:rStyle w:val="Hyperlink"/>
            <w:rFonts w:ascii="Garamond" w:hAnsi="Garamond"/>
            <w:noProof/>
          </w:rPr>
          <w:t>http://www.wyomingcda.com/files/TetonDec11.pdf</w:t>
        </w:r>
      </w:hyperlink>
      <w:r w:rsidRPr="006F6287">
        <w:rPr>
          <w:rFonts w:ascii="Garamond" w:hAnsi="Garamond"/>
          <w:noProof/>
        </w:rPr>
        <w:t>)</w:t>
      </w:r>
      <w:r w:rsidRPr="006F6287">
        <w:rPr>
          <w:rFonts w:ascii="Garamond" w:hAnsi="Garamond"/>
        </w:rPr>
        <w:t xml:space="preserve">    </w:t>
      </w:r>
      <w:bookmarkStart w:id="9" w:name="_GoBack"/>
      <w:bookmarkEnd w:id="9"/>
    </w:p>
  </w:footnote>
  <w:footnote w:id="36">
    <w:p w:rsidR="001B6FFE" w:rsidRPr="009B7BB6" w:rsidRDefault="001B6FFE">
      <w:pPr>
        <w:pStyle w:val="FootnoteText"/>
        <w:contextualSpacing/>
        <w:rPr>
          <w:rFonts w:ascii="Garamond" w:hAnsi="Garamond"/>
          <w:color w:val="000000"/>
        </w:rPr>
      </w:pPr>
      <w:r w:rsidRPr="009B7BB6">
        <w:rPr>
          <w:rStyle w:val="FootnoteReference"/>
          <w:rFonts w:ascii="Garamond" w:hAnsi="Garamond"/>
        </w:rPr>
        <w:footnoteRef/>
      </w:r>
      <w:hyperlink r:id="rId27" w:history="1">
        <w:r w:rsidRPr="009B7BB6">
          <w:rPr>
            <w:rStyle w:val="Hyperlink"/>
            <w:rFonts w:ascii="Garamond" w:hAnsi="Garamond"/>
          </w:rPr>
          <w:t>http://factfinder2.census.gov/faces/tableservices/jsf/pages/productview.xhtml?pid=ACS_10_3YR_DP03&amp;prodType=table</w:t>
        </w:r>
      </w:hyperlink>
    </w:p>
  </w:footnote>
  <w:footnote w:id="37">
    <w:p w:rsidR="001B6FFE" w:rsidRDefault="001B6FFE">
      <w:pPr>
        <w:pStyle w:val="FootnoteText"/>
      </w:pPr>
      <w:r>
        <w:rPr>
          <w:rStyle w:val="FootnoteReference"/>
        </w:rPr>
        <w:footnoteRef/>
      </w:r>
      <w:hyperlink r:id="rId28" w:history="1">
        <w:r w:rsidRPr="002736C3">
          <w:rPr>
            <w:rStyle w:val="Hyperlink"/>
            <w:rFonts w:ascii="Garamond" w:hAnsi="Garamond"/>
          </w:rPr>
          <w:t>http://factfinder2.census.gov/faces/tableservices/jsf/pages/productview.xhtml?pid=ACS_10_3YR_DP03&amp;prodType=table</w:t>
        </w:r>
      </w:hyperlink>
    </w:p>
  </w:footnote>
  <w:footnote w:id="38">
    <w:p w:rsidR="001B6FFE" w:rsidRDefault="001B6FFE" w:rsidP="00B5536D">
      <w:pPr>
        <w:pStyle w:val="FootnoteText"/>
      </w:pPr>
      <w:r>
        <w:rPr>
          <w:rStyle w:val="FootnoteReference"/>
        </w:rPr>
        <w:footnoteRef/>
      </w:r>
      <w:r w:rsidRPr="008C0484">
        <w:rPr>
          <w:rFonts w:ascii="Garamond" w:hAnsi="Garamond"/>
          <w:color w:val="000000"/>
        </w:rPr>
        <w:t>http://factfinder2.census.gov/faces/tableservices/jsf/pages/productview.xhtml?pid=ACS_10_3YR_DP04&amp;prodType=table</w:t>
      </w:r>
    </w:p>
  </w:footnote>
  <w:footnote w:id="39">
    <w:p w:rsidR="001B6FFE" w:rsidRPr="00CE6657" w:rsidRDefault="001B6FFE" w:rsidP="007203B8">
      <w:pPr>
        <w:spacing w:line="240" w:lineRule="auto"/>
        <w:contextualSpacing/>
      </w:pPr>
      <w:r>
        <w:rPr>
          <w:rStyle w:val="FootnoteReference"/>
        </w:rPr>
        <w:footnoteRef/>
      </w:r>
      <w:r>
        <w:t xml:space="preserve"> </w:t>
      </w:r>
      <w:r w:rsidRPr="00052804">
        <w:t>http://www.fhamortgagecenter.com/fha-blog/debt-to-income-and-fha/</w:t>
      </w:r>
    </w:p>
    <w:p w:rsidR="001B6FFE" w:rsidRDefault="001B6FFE">
      <w:pPr>
        <w:pStyle w:val="FootnoteText"/>
      </w:pPr>
    </w:p>
  </w:footnote>
  <w:footnote w:id="40">
    <w:p w:rsidR="001B6FFE" w:rsidRDefault="001B6FFE" w:rsidP="007203B8">
      <w:pPr>
        <w:pStyle w:val="FootnoteText"/>
        <w:contextualSpacing/>
        <w:rPr>
          <w:rFonts w:ascii="Garamond" w:hAnsi="Garamond"/>
          <w:color w:val="000000"/>
        </w:rPr>
      </w:pPr>
      <w:r>
        <w:rPr>
          <w:rStyle w:val="FootnoteReference"/>
        </w:rPr>
        <w:footnoteRef/>
      </w:r>
      <w:r w:rsidRPr="00873896">
        <w:rPr>
          <w:rFonts w:ascii="Garamond" w:hAnsi="Garamond"/>
          <w:color w:val="000000"/>
        </w:rPr>
        <w:t>http://factfinder2.census.gov/faces/tableservices/jsf/pages/productview.xhtml?pid=ACS_10_3Y</w:t>
      </w:r>
    </w:p>
    <w:p w:rsidR="001B6FFE" w:rsidRPr="00873896" w:rsidRDefault="001B6FFE" w:rsidP="007203B8">
      <w:pPr>
        <w:pStyle w:val="FootnoteText"/>
        <w:contextualSpacing/>
        <w:rPr>
          <w:rFonts w:ascii="Garamond" w:hAnsi="Garamond"/>
        </w:rPr>
      </w:pPr>
      <w:r w:rsidRPr="00873896">
        <w:rPr>
          <w:rFonts w:ascii="Garamond" w:hAnsi="Garamond"/>
          <w:color w:val="000000"/>
        </w:rPr>
        <w:t>R_DP04&amp;prodType=table</w:t>
      </w:r>
    </w:p>
  </w:footnote>
  <w:footnote w:id="41">
    <w:p w:rsidR="001B6FFE" w:rsidRDefault="001B6FFE" w:rsidP="00B85456">
      <w:pPr>
        <w:pStyle w:val="FootnoteText"/>
        <w:contextualSpacing/>
      </w:pPr>
      <w:r w:rsidRPr="00C54369">
        <w:rPr>
          <w:rStyle w:val="FootnoteReference"/>
          <w:rFonts w:ascii="Garamond" w:hAnsi="Garamond"/>
        </w:rPr>
        <w:footnoteRef/>
      </w:r>
      <w:r w:rsidRPr="00C54369">
        <w:rPr>
          <w:rFonts w:ascii="Garamond" w:hAnsi="Garamond"/>
          <w:color w:val="000000"/>
        </w:rPr>
        <w:t>http://factfinder2.census.gov/faces/tableservices/jsf/pages/productview.xhtml?pid=ACS_10_5YR_DP04&amp;prodType=table</w:t>
      </w:r>
    </w:p>
  </w:footnote>
  <w:footnote w:id="42">
    <w:p w:rsidR="001B6FFE" w:rsidRDefault="001B6FFE">
      <w:pPr>
        <w:pStyle w:val="FootnoteText"/>
        <w:contextualSpacing/>
      </w:pPr>
      <w:r>
        <w:rPr>
          <w:rStyle w:val="FootnoteReference"/>
        </w:rPr>
        <w:footnoteRef/>
      </w:r>
      <w:r w:rsidRPr="00C54369">
        <w:rPr>
          <w:rFonts w:ascii="Garamond" w:hAnsi="Garamond"/>
          <w:color w:val="000000"/>
        </w:rPr>
        <w:t>http://www.usamls.net/snakeriver/default.asp?content=results&amp;menu_id=19719&amp;this_format=1&amp;query_id=121168560&amp;sortby=2</w:t>
      </w:r>
    </w:p>
  </w:footnote>
  <w:footnote w:id="43">
    <w:p w:rsidR="001B6FFE" w:rsidRPr="00B40DBA" w:rsidRDefault="001B6FFE" w:rsidP="00B5536D">
      <w:pPr>
        <w:pStyle w:val="FootnoteText"/>
        <w:rPr>
          <w:rFonts w:ascii="Garamond" w:hAnsi="Garamond"/>
        </w:rPr>
      </w:pPr>
      <w:r w:rsidRPr="00B40DBA">
        <w:rPr>
          <w:rStyle w:val="FootnoteReference"/>
          <w:rFonts w:ascii="Garamond" w:hAnsi="Garamond"/>
        </w:rPr>
        <w:footnoteRef/>
      </w:r>
      <w:hyperlink r:id="rId29" w:history="1">
        <w:r w:rsidRPr="00B40DBA">
          <w:rPr>
            <w:rStyle w:val="Hyperlink"/>
            <w:rFonts w:ascii="Garamond" w:hAnsi="Garamond"/>
          </w:rPr>
          <w:t>http://factfinder2.census.gov/faces/tableservices/jsf/pages/productview.xhtml?pid=DEC_10_DP_DPDP1&amp;prodType=table</w:t>
        </w:r>
      </w:hyperlink>
    </w:p>
  </w:footnote>
  <w:footnote w:id="44">
    <w:p w:rsidR="001B6FFE" w:rsidRPr="00B40DBA" w:rsidRDefault="001B6FFE" w:rsidP="00B5536D">
      <w:pPr>
        <w:pStyle w:val="FootnoteText"/>
        <w:rPr>
          <w:rFonts w:ascii="Garamond" w:hAnsi="Garamond"/>
        </w:rPr>
      </w:pPr>
      <w:r w:rsidRPr="00B40DBA">
        <w:rPr>
          <w:rStyle w:val="FootnoteReference"/>
          <w:rFonts w:ascii="Garamond" w:hAnsi="Garamond"/>
        </w:rPr>
        <w:footnoteRef/>
      </w:r>
      <w:hyperlink r:id="rId30" w:history="1">
        <w:r w:rsidRPr="00B40DBA">
          <w:rPr>
            <w:rStyle w:val="Hyperlink"/>
            <w:rFonts w:ascii="Garamond" w:hAnsi="Garamond"/>
          </w:rPr>
          <w:t>http://factfinder2.census.gov/faces/tableservices/jsf/pages/productview.xhtml?pid=DEC_10_DP_DPDP1&amp;prodType=table</w:t>
        </w:r>
      </w:hyperlink>
      <w:r w:rsidRPr="00B40DBA">
        <w:rPr>
          <w:rFonts w:ascii="Garamond" w:hAnsi="Garamond"/>
        </w:rPr>
        <w:t xml:space="preserve"> </w:t>
      </w:r>
    </w:p>
  </w:footnote>
  <w:footnote w:id="45">
    <w:p w:rsidR="001B6FFE" w:rsidRPr="00D70D7A" w:rsidRDefault="001B6FFE" w:rsidP="00B5536D">
      <w:pPr>
        <w:pStyle w:val="FootnoteText"/>
      </w:pPr>
      <w:r w:rsidRPr="00B40DBA">
        <w:rPr>
          <w:rStyle w:val="FootnoteReference"/>
          <w:rFonts w:ascii="Garamond" w:hAnsi="Garamond"/>
        </w:rPr>
        <w:footnoteRef/>
      </w:r>
      <w:hyperlink r:id="rId31" w:history="1">
        <w:r w:rsidRPr="00B40DBA">
          <w:rPr>
            <w:rStyle w:val="Hyperlink"/>
            <w:rFonts w:ascii="Garamond" w:hAnsi="Garamond"/>
          </w:rPr>
          <w:t>http://factfinder2.census.gov/faces/tableservices/jsf/pages/productview.xhtml?pid=ACS_10_5YR_DP03&amp;prodType=table</w:t>
        </w:r>
      </w:hyperlink>
    </w:p>
  </w:footnote>
  <w:footnote w:id="46">
    <w:p w:rsidR="001B6FFE" w:rsidRPr="00B40DBA" w:rsidRDefault="001B6FFE" w:rsidP="00B5536D">
      <w:pPr>
        <w:pStyle w:val="FootnoteText"/>
        <w:rPr>
          <w:rFonts w:ascii="Garamond" w:hAnsi="Garamond"/>
        </w:rPr>
      </w:pPr>
      <w:r w:rsidRPr="00B40DBA">
        <w:rPr>
          <w:rStyle w:val="FootnoteReference"/>
          <w:rFonts w:ascii="Garamond" w:hAnsi="Garamond"/>
        </w:rPr>
        <w:footnoteRef/>
      </w:r>
      <w:r w:rsidRPr="00B40DBA">
        <w:rPr>
          <w:rFonts w:ascii="Garamond" w:hAnsi="Garamond"/>
        </w:rPr>
        <w:t xml:space="preserve">(U.S. Census Bureau) </w:t>
      </w:r>
    </w:p>
    <w:p w:rsidR="001B6FFE" w:rsidRPr="00B40DBA" w:rsidRDefault="001B6FFE" w:rsidP="00B5536D">
      <w:pPr>
        <w:pStyle w:val="FootnoteText"/>
        <w:rPr>
          <w:rFonts w:ascii="Garamond" w:hAnsi="Garamond"/>
        </w:rPr>
      </w:pPr>
      <w:hyperlink r:id="rId32" w:history="1">
        <w:r w:rsidRPr="00B40DBA">
          <w:rPr>
            <w:rStyle w:val="Hyperlink"/>
            <w:rFonts w:ascii="Garamond" w:hAnsi="Garamond"/>
          </w:rPr>
          <w:t>http://factfinder2.census.gov/faces/tableservices/jsf/pages/productview.xhtml?pid=ACS_10_5YR_DP03&amp;prodType=table</w:t>
        </w:r>
      </w:hyperlink>
    </w:p>
  </w:footnote>
  <w:footnote w:id="47">
    <w:p w:rsidR="001B6FFE" w:rsidRPr="00B40DBA" w:rsidRDefault="001B6FFE" w:rsidP="00B5536D">
      <w:pPr>
        <w:pStyle w:val="FootnoteText"/>
        <w:rPr>
          <w:rFonts w:ascii="Garamond" w:hAnsi="Garamond"/>
        </w:rPr>
      </w:pPr>
      <w:r>
        <w:rPr>
          <w:rStyle w:val="FootnoteReference"/>
        </w:rPr>
        <w:footnoteRef/>
      </w:r>
      <w:r>
        <w:t xml:space="preserve"> (</w:t>
      </w:r>
      <w:r w:rsidRPr="00B40DBA">
        <w:rPr>
          <w:rFonts w:ascii="Garamond" w:hAnsi="Garamond"/>
        </w:rPr>
        <w:t>U.S. Census Bureau)</w:t>
      </w:r>
    </w:p>
    <w:p w:rsidR="001B6FFE" w:rsidRDefault="001B6FFE" w:rsidP="00B5536D">
      <w:pPr>
        <w:pStyle w:val="FootnoteText"/>
      </w:pPr>
      <w:hyperlink r:id="rId33" w:history="1">
        <w:r w:rsidRPr="00B40DBA">
          <w:rPr>
            <w:rStyle w:val="Hyperlink"/>
            <w:rFonts w:ascii="Garamond" w:hAnsi="Garamond"/>
          </w:rPr>
          <w:t>http://factfinder2.census.gov/faces/tableservices/jsf/pages/productview.xhtml?pid=ACS_10_1YR_DP04&amp;prodType=table</w:t>
        </w:r>
      </w:hyperlink>
    </w:p>
  </w:footnote>
  <w:footnote w:id="48">
    <w:p w:rsidR="001B6FFE" w:rsidRPr="00B40DBA" w:rsidRDefault="001B6FFE" w:rsidP="00B5536D">
      <w:pPr>
        <w:pStyle w:val="FootnoteText"/>
        <w:rPr>
          <w:rFonts w:ascii="Garamond" w:hAnsi="Garamond"/>
        </w:rPr>
      </w:pPr>
      <w:r>
        <w:rPr>
          <w:rStyle w:val="FootnoteReference"/>
        </w:rPr>
        <w:footnoteRef/>
      </w:r>
      <w:r>
        <w:t xml:space="preserve"> </w:t>
      </w:r>
      <w:r w:rsidRPr="00B40DBA">
        <w:rPr>
          <w:rFonts w:ascii="Garamond" w:hAnsi="Garamond"/>
        </w:rPr>
        <w:t>(U.S. Census Bureau)</w:t>
      </w:r>
    </w:p>
    <w:p w:rsidR="001B6FFE" w:rsidRDefault="001B6FFE" w:rsidP="00B5536D">
      <w:pPr>
        <w:pStyle w:val="FootnoteText"/>
      </w:pPr>
      <w:hyperlink r:id="rId34" w:history="1">
        <w:r w:rsidRPr="00B40DBA">
          <w:rPr>
            <w:rStyle w:val="Hyperlink"/>
            <w:rFonts w:ascii="Garamond" w:hAnsi="Garamond"/>
          </w:rPr>
          <w:t>http://factfinder2.census.gov/faces/tableservices/jsf/pages/productview.xhtml?pid=ACS_10_5YR_DP04&amp;prodType=table</w:t>
        </w:r>
      </w:hyperlink>
    </w:p>
  </w:footnote>
  <w:footnote w:id="49">
    <w:p w:rsidR="001B6FFE" w:rsidRPr="00B40DBA" w:rsidRDefault="001B6FFE" w:rsidP="00EE571F">
      <w:pPr>
        <w:pStyle w:val="FootnoteText"/>
        <w:rPr>
          <w:rFonts w:ascii="Garamond" w:hAnsi="Garamond"/>
        </w:rPr>
      </w:pPr>
      <w:r w:rsidRPr="00B40DBA">
        <w:rPr>
          <w:rStyle w:val="FootnoteReference"/>
          <w:rFonts w:ascii="Garamond" w:hAnsi="Garamond"/>
        </w:rPr>
        <w:footnoteRef/>
      </w:r>
      <w:r w:rsidRPr="00B40DBA">
        <w:rPr>
          <w:rFonts w:ascii="Garamond" w:hAnsi="Garamond"/>
        </w:rPr>
        <w:t xml:space="preserve"> (U.S Census Bureau)</w:t>
      </w:r>
    </w:p>
    <w:p w:rsidR="001B6FFE" w:rsidRPr="00B40DBA" w:rsidRDefault="001B6FFE" w:rsidP="00EE571F">
      <w:pPr>
        <w:pStyle w:val="FootnoteText"/>
        <w:rPr>
          <w:rFonts w:ascii="Garamond" w:hAnsi="Garamond"/>
        </w:rPr>
      </w:pPr>
      <w:hyperlink r:id="rId35" w:history="1">
        <w:r w:rsidRPr="00B40DBA">
          <w:rPr>
            <w:rStyle w:val="Hyperlink"/>
            <w:rFonts w:ascii="Garamond" w:hAnsi="Garamond"/>
          </w:rPr>
          <w:t>http://factfinder2.census.gov/faces/tableservices/jsf/pages/productview.xhtml?pid=ACS_10_5YR_DP04&amp;prodType=table</w:t>
        </w:r>
      </w:hyperlink>
    </w:p>
  </w:footnote>
  <w:footnote w:id="50">
    <w:p w:rsidR="001B6FFE" w:rsidRPr="00B40DBA" w:rsidRDefault="001B6FFE" w:rsidP="00B5536D">
      <w:pPr>
        <w:pStyle w:val="FootnoteText"/>
        <w:rPr>
          <w:rFonts w:ascii="Garamond" w:hAnsi="Garamond"/>
        </w:rPr>
      </w:pPr>
      <w:r w:rsidRPr="00B40DBA">
        <w:rPr>
          <w:rStyle w:val="FootnoteReference"/>
          <w:rFonts w:ascii="Garamond" w:hAnsi="Garamond"/>
        </w:rPr>
        <w:footnoteRef/>
      </w:r>
      <w:r w:rsidRPr="00B40DBA">
        <w:rPr>
          <w:rFonts w:ascii="Garamond" w:hAnsi="Garamond"/>
        </w:rPr>
        <w:t xml:space="preserve"> (U.S Census Bureau)</w:t>
      </w:r>
    </w:p>
    <w:p w:rsidR="001B6FFE" w:rsidRPr="00B40DBA" w:rsidRDefault="001B6FFE" w:rsidP="00B5536D">
      <w:pPr>
        <w:pStyle w:val="FootnoteText"/>
        <w:rPr>
          <w:rFonts w:ascii="Garamond" w:hAnsi="Garamond"/>
        </w:rPr>
      </w:pPr>
      <w:hyperlink r:id="rId36" w:history="1">
        <w:r w:rsidRPr="00B40DBA">
          <w:rPr>
            <w:rStyle w:val="Hyperlink"/>
            <w:rFonts w:ascii="Garamond" w:hAnsi="Garamond"/>
          </w:rPr>
          <w:t>http://factfinder2.census.gov/faces/tableservices/jsf/pages/productview.xhtml?pid=DEC_10_SF1_QTH1&amp;prodType=table</w:t>
        </w:r>
      </w:hyperlink>
    </w:p>
  </w:footnote>
  <w:footnote w:id="51">
    <w:p w:rsidR="001B6FFE" w:rsidRPr="00B40DBA" w:rsidRDefault="001B6FFE">
      <w:pPr>
        <w:pStyle w:val="FootnoteText"/>
        <w:rPr>
          <w:rFonts w:ascii="Garamond" w:hAnsi="Garamond"/>
        </w:rPr>
      </w:pPr>
      <w:r w:rsidRPr="00B40DBA">
        <w:rPr>
          <w:rStyle w:val="FootnoteReference"/>
          <w:rFonts w:ascii="Garamond" w:hAnsi="Garamond"/>
        </w:rPr>
        <w:footnoteRef/>
      </w:r>
      <w:r w:rsidRPr="00B40DBA">
        <w:rPr>
          <w:rFonts w:ascii="Garamond" w:hAnsi="Garamond"/>
        </w:rPr>
        <w:t>(U.S. Census Bureau)</w:t>
      </w:r>
    </w:p>
    <w:p w:rsidR="001B6FFE" w:rsidRPr="00B40DBA" w:rsidRDefault="001B6FFE">
      <w:pPr>
        <w:pStyle w:val="FootnoteText"/>
        <w:rPr>
          <w:rFonts w:ascii="Garamond" w:hAnsi="Garamond"/>
        </w:rPr>
      </w:pPr>
      <w:hyperlink r:id="rId37" w:history="1">
        <w:r w:rsidRPr="00B40DBA">
          <w:rPr>
            <w:rStyle w:val="Hyperlink"/>
            <w:rFonts w:ascii="Garamond" w:hAnsi="Garamond"/>
          </w:rPr>
          <w:t>http://factfinder2.census.gov/faces/tableservices/jsf/pages/productview.xhtml?pid=DEC_10_SF1_QTH1&amp;prodType=table</w:t>
        </w:r>
      </w:hyperlink>
    </w:p>
  </w:footnote>
  <w:footnote w:id="52">
    <w:p w:rsidR="001B6FFE" w:rsidRPr="00B40DBA" w:rsidRDefault="001B6FFE" w:rsidP="00B5536D">
      <w:pPr>
        <w:pStyle w:val="FootnoteText"/>
        <w:rPr>
          <w:rFonts w:ascii="Garamond" w:hAnsi="Garamond"/>
        </w:rPr>
      </w:pPr>
      <w:r w:rsidRPr="00B40DBA">
        <w:rPr>
          <w:rStyle w:val="FootnoteReference"/>
          <w:rFonts w:ascii="Garamond" w:hAnsi="Garamond"/>
        </w:rPr>
        <w:footnoteRef/>
      </w:r>
      <w:r w:rsidRPr="00B40DBA">
        <w:rPr>
          <w:rFonts w:ascii="Garamond" w:hAnsi="Garamond"/>
        </w:rPr>
        <w:t xml:space="preserve"> SnakeRiverMLS.com</w:t>
      </w:r>
    </w:p>
    <w:p w:rsidR="001B6FFE" w:rsidRDefault="001B6FFE" w:rsidP="00B5536D">
      <w:pPr>
        <w:pStyle w:val="FootnoteText"/>
      </w:pPr>
      <w:hyperlink r:id="rId38" w:history="1">
        <w:r w:rsidRPr="00B40DBA">
          <w:rPr>
            <w:rStyle w:val="Hyperlink"/>
            <w:rFonts w:ascii="Garamond" w:hAnsi="Garamond"/>
          </w:rPr>
          <w:t>http://www.usamls.net/snakeriver/default.asp?content=results&amp;menu_id=19719&amp;this_format=1&amp;query_id=121164976&amp;sortby=2&amp;page=3</w:t>
        </w:r>
      </w:hyperlink>
    </w:p>
  </w:footnote>
  <w:footnote w:id="53">
    <w:p w:rsidR="001B6FFE" w:rsidRPr="00CD6EFD" w:rsidRDefault="001B6FFE" w:rsidP="00B5536D">
      <w:pPr>
        <w:pStyle w:val="FootnoteText"/>
        <w:rPr>
          <w:rFonts w:ascii="Garamond" w:hAnsi="Garamond"/>
        </w:rPr>
      </w:pPr>
      <w:r w:rsidRPr="00CD6EFD">
        <w:rPr>
          <w:rStyle w:val="FootnoteReference"/>
          <w:rFonts w:ascii="Garamond" w:hAnsi="Garamond"/>
        </w:rPr>
        <w:footnoteRef/>
      </w:r>
      <w:hyperlink r:id="rId39" w:history="1">
        <w:r w:rsidRPr="00CD6EFD">
          <w:rPr>
            <w:rStyle w:val="Hyperlink"/>
            <w:rFonts w:ascii="Garamond" w:hAnsi="Garamond"/>
          </w:rPr>
          <w:t>http://factfinder2.census.gov/faces/tableservices/jsf/pages/productview.xhtml?pid=DEC_10_DP_DPDP1</w:t>
        </w:r>
      </w:hyperlink>
    </w:p>
  </w:footnote>
  <w:footnote w:id="54">
    <w:p w:rsidR="001B6FFE" w:rsidRDefault="001B6FFE">
      <w:pPr>
        <w:pStyle w:val="FootnoteText"/>
      </w:pPr>
      <w:r w:rsidRPr="00CD6EFD">
        <w:rPr>
          <w:rStyle w:val="FootnoteReference"/>
          <w:rFonts w:ascii="Garamond" w:hAnsi="Garamond"/>
        </w:rPr>
        <w:footnoteRef/>
      </w:r>
      <w:hyperlink r:id="rId40" w:history="1">
        <w:r w:rsidRPr="00CD6EFD">
          <w:rPr>
            <w:rStyle w:val="Hyperlink"/>
            <w:rFonts w:ascii="Garamond" w:hAnsi="Garamond"/>
          </w:rPr>
          <w:t>http://factfinder2.census.gov/faces/tableservices/jsf/pages/productview.xhtml?pid=DEC_10_DP_DPDP1&amp;prodType=table</w:t>
        </w:r>
      </w:hyperlink>
    </w:p>
  </w:footnote>
  <w:footnote w:id="55">
    <w:p w:rsidR="001B6FFE" w:rsidRPr="00CD6EFD" w:rsidRDefault="001B6FFE" w:rsidP="00B5536D">
      <w:pPr>
        <w:pStyle w:val="FootnoteText"/>
      </w:pPr>
      <w:r>
        <w:rPr>
          <w:rStyle w:val="FootnoteReference"/>
        </w:rPr>
        <w:footnoteRef/>
      </w:r>
      <w:hyperlink r:id="rId41" w:history="1">
        <w:r>
          <w:rPr>
            <w:rStyle w:val="Hyperlink"/>
          </w:rPr>
          <w:t>http://factfinder2.census.gov/faces/tableservices/jsf/pages/productview.xhtml?pid=ACS_10_5YR_DP03&amp;prodType=table</w:t>
        </w:r>
      </w:hyperlink>
    </w:p>
  </w:footnote>
  <w:footnote w:id="56">
    <w:p w:rsidR="001B6FFE" w:rsidRDefault="001B6FFE">
      <w:pPr>
        <w:pStyle w:val="FootnoteText"/>
      </w:pPr>
      <w:r>
        <w:rPr>
          <w:rStyle w:val="FootnoteReference"/>
        </w:rPr>
        <w:footnoteRef/>
      </w:r>
      <w:r>
        <w:t xml:space="preserve"> </w:t>
      </w:r>
      <w:r w:rsidRPr="00CD6EFD">
        <w:rPr>
          <w:rFonts w:ascii="Garamond" w:hAnsi="Garamond"/>
        </w:rPr>
        <w:t>(U.S. Census Bureau)</w:t>
      </w:r>
    </w:p>
    <w:p w:rsidR="001B6FFE" w:rsidRPr="00CD6EFD" w:rsidRDefault="001B6FFE">
      <w:pPr>
        <w:pStyle w:val="FootnoteText"/>
        <w:rPr>
          <w:rFonts w:ascii="Garamond" w:hAnsi="Garamond"/>
        </w:rPr>
      </w:pPr>
      <w:hyperlink r:id="rId42" w:history="1">
        <w:r w:rsidRPr="00CD6EFD">
          <w:rPr>
            <w:rStyle w:val="Hyperlink"/>
            <w:rFonts w:ascii="Garamond" w:hAnsi="Garamond"/>
          </w:rPr>
          <w:t>http://factfinder2.census.gov/faces/tableservices/jsf/pages/productview.xhtml?pid=ACS_10_5YR_DP03&amp;prodType=table</w:t>
        </w:r>
      </w:hyperlink>
    </w:p>
  </w:footnote>
  <w:footnote w:id="57">
    <w:p w:rsidR="001B6FFE" w:rsidRDefault="001B6FFE" w:rsidP="00B5536D">
      <w:pPr>
        <w:pStyle w:val="FootnoteText"/>
      </w:pPr>
      <w:r>
        <w:rPr>
          <w:rStyle w:val="FootnoteReference"/>
        </w:rPr>
        <w:footnoteRef/>
      </w:r>
      <w:r>
        <w:t xml:space="preserve"> (U.S Census Bureau)</w:t>
      </w:r>
    </w:p>
    <w:p w:rsidR="001B6FFE" w:rsidRDefault="001B6FFE" w:rsidP="00B5536D">
      <w:pPr>
        <w:pStyle w:val="FootnoteText"/>
      </w:pPr>
      <w:hyperlink r:id="rId43" w:history="1">
        <w:r>
          <w:rPr>
            <w:rStyle w:val="Hyperlink"/>
          </w:rPr>
          <w:t>http://factfinder2.census.gov/faces/tableservices/jsf/pages/productview.xhtml?pid=DEC_10_SF1_QTH1&amp;prodType=table</w:t>
        </w:r>
      </w:hyperlink>
    </w:p>
  </w:footnote>
  <w:footnote w:id="58">
    <w:p w:rsidR="001B6FFE" w:rsidRPr="00CD6EFD" w:rsidRDefault="001B6FFE" w:rsidP="00B5536D">
      <w:pPr>
        <w:pStyle w:val="FootnoteText"/>
        <w:rPr>
          <w:rFonts w:ascii="Garamond" w:hAnsi="Garamond"/>
        </w:rPr>
      </w:pPr>
      <w:r>
        <w:rPr>
          <w:rStyle w:val="FootnoteReference"/>
        </w:rPr>
        <w:footnoteRef/>
      </w:r>
      <w:r>
        <w:t xml:space="preserve"> </w:t>
      </w:r>
      <w:r w:rsidRPr="00CD6EFD">
        <w:rPr>
          <w:rFonts w:ascii="Garamond" w:hAnsi="Garamond"/>
        </w:rPr>
        <w:t>(U.S Census Bureau)</w:t>
      </w:r>
    </w:p>
    <w:p w:rsidR="001B6FFE" w:rsidRDefault="001B6FFE" w:rsidP="00B5536D">
      <w:pPr>
        <w:pStyle w:val="FootnoteText"/>
      </w:pPr>
      <w:hyperlink r:id="rId44" w:history="1">
        <w:r w:rsidRPr="00CD6EFD">
          <w:rPr>
            <w:rStyle w:val="Hyperlink"/>
            <w:rFonts w:ascii="Garamond" w:hAnsi="Garamond"/>
          </w:rPr>
          <w:t>http://factfinder2.census.gov/faces/tableservices/jsf/pages/productview.xhtml?pid=ACS_10_5YR_DP04&amp;prodType=table</w:t>
        </w:r>
      </w:hyperlink>
    </w:p>
  </w:footnote>
  <w:footnote w:id="59">
    <w:p w:rsidR="001B6FFE" w:rsidRPr="00CD6EFD" w:rsidRDefault="001B6FFE" w:rsidP="00B5536D">
      <w:pPr>
        <w:pStyle w:val="FootnoteText"/>
        <w:rPr>
          <w:rFonts w:ascii="Garamond" w:hAnsi="Garamond"/>
        </w:rPr>
      </w:pPr>
      <w:r w:rsidRPr="00CD6EFD">
        <w:rPr>
          <w:rStyle w:val="FootnoteReference"/>
          <w:rFonts w:ascii="Garamond" w:hAnsi="Garamond"/>
        </w:rPr>
        <w:footnoteRef/>
      </w:r>
      <w:r w:rsidRPr="00CD6EFD">
        <w:rPr>
          <w:rFonts w:ascii="Garamond" w:hAnsi="Garamond"/>
        </w:rPr>
        <w:t xml:space="preserve"> (U.S. Census Bureau)</w:t>
      </w:r>
    </w:p>
    <w:p w:rsidR="001B6FFE" w:rsidRPr="00CD6EFD" w:rsidRDefault="001B6FFE" w:rsidP="00B5536D">
      <w:pPr>
        <w:pStyle w:val="FootnoteText"/>
        <w:rPr>
          <w:rFonts w:ascii="Garamond" w:hAnsi="Garamond"/>
        </w:rPr>
      </w:pPr>
      <w:hyperlink r:id="rId45" w:history="1">
        <w:r w:rsidRPr="00CD6EFD">
          <w:rPr>
            <w:rStyle w:val="Hyperlink"/>
            <w:rFonts w:ascii="Garamond" w:hAnsi="Garamond"/>
          </w:rPr>
          <w:t>http://factfinder2.census.gov/faces/tableservices/jsf/pages/productview.xhtml?pid=ACS_10_5YR_DP04&amp;prodType=table</w:t>
        </w:r>
      </w:hyperlink>
    </w:p>
  </w:footnote>
  <w:footnote w:id="60">
    <w:p w:rsidR="001B6FFE" w:rsidRPr="00CD6EFD" w:rsidRDefault="001B6FFE">
      <w:pPr>
        <w:pStyle w:val="FootnoteText"/>
        <w:rPr>
          <w:rFonts w:ascii="Garamond" w:hAnsi="Garamond"/>
        </w:rPr>
      </w:pPr>
      <w:r w:rsidRPr="00CD6EFD">
        <w:rPr>
          <w:rStyle w:val="FootnoteReference"/>
          <w:rFonts w:ascii="Garamond" w:hAnsi="Garamond"/>
        </w:rPr>
        <w:footnoteRef/>
      </w:r>
      <w:r w:rsidRPr="00CD6EFD">
        <w:rPr>
          <w:rFonts w:ascii="Garamond" w:hAnsi="Garamond"/>
        </w:rPr>
        <w:t>(U.S</w:t>
      </w:r>
      <w:r>
        <w:rPr>
          <w:rFonts w:ascii="Garamond" w:hAnsi="Garamond"/>
        </w:rPr>
        <w:t xml:space="preserve">. </w:t>
      </w:r>
      <w:r w:rsidRPr="00CD6EFD">
        <w:rPr>
          <w:rFonts w:ascii="Garamond" w:hAnsi="Garamond"/>
        </w:rPr>
        <w:t>Census</w:t>
      </w:r>
      <w:r>
        <w:rPr>
          <w:rFonts w:ascii="Garamond" w:hAnsi="Garamond"/>
        </w:rPr>
        <w:t xml:space="preserve"> </w:t>
      </w:r>
      <w:r w:rsidRPr="00CD6EFD">
        <w:rPr>
          <w:rFonts w:ascii="Garamond" w:hAnsi="Garamond"/>
        </w:rPr>
        <w:t>Bureau)</w:t>
      </w:r>
    </w:p>
    <w:p w:rsidR="001B6FFE" w:rsidRPr="00CD6EFD" w:rsidRDefault="001B6FFE">
      <w:pPr>
        <w:pStyle w:val="FootnoteText"/>
        <w:rPr>
          <w:rFonts w:ascii="Garamond" w:hAnsi="Garamond"/>
        </w:rPr>
      </w:pPr>
      <w:hyperlink r:id="rId46" w:history="1">
        <w:r w:rsidRPr="00CD6EFD">
          <w:rPr>
            <w:rStyle w:val="Hyperlink"/>
            <w:rFonts w:ascii="Garamond" w:hAnsi="Garamond"/>
          </w:rPr>
          <w:t>http://factfinder2.census.gov/faces/tableservices/jsf/pages/productview.xhtml?pid=DEC_10_SF1_QTH1&amp;prodType=table</w:t>
        </w:r>
      </w:hyperlink>
    </w:p>
  </w:footnote>
  <w:footnote w:id="61">
    <w:p w:rsidR="001B6FFE" w:rsidRPr="00CD6EFD" w:rsidRDefault="001B6FFE">
      <w:pPr>
        <w:pStyle w:val="FootnoteText"/>
        <w:rPr>
          <w:rFonts w:ascii="Garamond" w:hAnsi="Garamond"/>
        </w:rPr>
      </w:pPr>
      <w:r w:rsidRPr="00CD6EFD">
        <w:rPr>
          <w:rStyle w:val="FootnoteReference"/>
          <w:rFonts w:ascii="Garamond" w:hAnsi="Garamond"/>
        </w:rPr>
        <w:footnoteRef/>
      </w:r>
      <w:r>
        <w:rPr>
          <w:rFonts w:ascii="Garamond" w:hAnsi="Garamond"/>
        </w:rPr>
        <w:t xml:space="preserve"> (Zillow.com)</w:t>
      </w:r>
      <w:hyperlink r:id="rId47" w:history="1">
        <w:r w:rsidRPr="00CD6EFD">
          <w:rPr>
            <w:rStyle w:val="Hyperlink"/>
            <w:rFonts w:ascii="Garamond" w:hAnsi="Garamond"/>
          </w:rPr>
          <w:t>http://www.zillow.com/homes/Island-Park-ID_rb/</w:t>
        </w:r>
      </w:hyperlink>
    </w:p>
  </w:footnote>
  <w:footnote w:id="62">
    <w:p w:rsidR="001B6FFE" w:rsidRPr="00CD6EFD" w:rsidRDefault="001B6FFE">
      <w:pPr>
        <w:pStyle w:val="FootnoteText"/>
        <w:rPr>
          <w:rFonts w:ascii="Garamond" w:hAnsi="Garamond"/>
        </w:rPr>
      </w:pPr>
      <w:r w:rsidRPr="00CD6EFD">
        <w:rPr>
          <w:rStyle w:val="FootnoteReference"/>
          <w:rFonts w:ascii="Garamond" w:hAnsi="Garamond"/>
        </w:rPr>
        <w:footnoteRef/>
      </w:r>
      <w:r w:rsidRPr="00CD6EFD">
        <w:rPr>
          <w:rFonts w:ascii="Garamond" w:hAnsi="Garamond"/>
        </w:rPr>
        <w:t xml:space="preserve"> SnakeRiverMLS.com</w:t>
      </w:r>
    </w:p>
    <w:p w:rsidR="001B6FFE" w:rsidRDefault="001B6FFE">
      <w:pPr>
        <w:pStyle w:val="FootnoteText"/>
      </w:pPr>
      <w:hyperlink r:id="rId48" w:history="1">
        <w:r w:rsidRPr="00CD6EFD">
          <w:rPr>
            <w:rStyle w:val="Hyperlink"/>
            <w:rFonts w:ascii="Garamond" w:hAnsi="Garamond"/>
          </w:rPr>
          <w:t>http://www.usamls.net/snakeriver/default.asp?content=results&amp;menu_id=19719&amp;this_format=1&amp;query_id=121177125&amp;sortby=10&amp;page=12</w:t>
        </w:r>
      </w:hyperlink>
    </w:p>
  </w:footnote>
  <w:footnote w:id="63">
    <w:p w:rsidR="001B6FFE" w:rsidRPr="00774C11" w:rsidRDefault="001B6FFE">
      <w:pPr>
        <w:pStyle w:val="FootnoteText"/>
        <w:rPr>
          <w:rFonts w:ascii="Garamond" w:hAnsi="Garamond"/>
        </w:rPr>
      </w:pPr>
      <w:r>
        <w:rPr>
          <w:rStyle w:val="FootnoteReference"/>
        </w:rPr>
        <w:footnoteRef/>
      </w:r>
      <w:hyperlink r:id="rId49" w:history="1">
        <w:r w:rsidRPr="00774C11">
          <w:rPr>
            <w:rStyle w:val="Hyperlink"/>
            <w:rFonts w:ascii="Garamond" w:hAnsi="Garamond"/>
          </w:rPr>
          <w:t>http://factfinder2.census.gov/faces/tableservices/jsf/pages/productview.xhtml?pid=DEC_10_DP_DPDP1&amp;prodType=table</w:t>
        </w:r>
      </w:hyperlink>
    </w:p>
  </w:footnote>
  <w:footnote w:id="64">
    <w:p w:rsidR="001B6FFE" w:rsidRPr="007203B8" w:rsidRDefault="001B6FFE">
      <w:pPr>
        <w:pStyle w:val="FootnoteText"/>
        <w:rPr>
          <w:rFonts w:ascii="Garamond" w:hAnsi="Garamond"/>
        </w:rPr>
      </w:pPr>
      <w:r w:rsidRPr="00774C11">
        <w:rPr>
          <w:rStyle w:val="FootnoteReference"/>
          <w:rFonts w:ascii="Garamond" w:hAnsi="Garamond"/>
        </w:rPr>
        <w:footnoteRef/>
      </w:r>
      <w:hyperlink r:id="rId50" w:history="1">
        <w:r w:rsidRPr="00774C11">
          <w:rPr>
            <w:rStyle w:val="Hyperlink"/>
            <w:rFonts w:ascii="Garamond" w:hAnsi="Garamond"/>
          </w:rPr>
          <w:t>http://factfinder2.census.gov/faces/tableservices/jsf/pages/productview.xhtml?pid=ACS_10_5YR_DP03&amp;prodType=table</w:t>
        </w:r>
      </w:hyperlink>
    </w:p>
  </w:footnote>
  <w:footnote w:id="65">
    <w:p w:rsidR="001B6FFE" w:rsidRPr="00774C11" w:rsidRDefault="001B6FFE" w:rsidP="00B5536D">
      <w:pPr>
        <w:pStyle w:val="FootnoteText"/>
        <w:rPr>
          <w:rFonts w:ascii="Garamond" w:hAnsi="Garamond"/>
        </w:rPr>
      </w:pPr>
      <w:r w:rsidRPr="00774C11">
        <w:rPr>
          <w:rStyle w:val="FootnoteReference"/>
          <w:rFonts w:ascii="Garamond" w:hAnsi="Garamond"/>
        </w:rPr>
        <w:footnoteRef/>
      </w:r>
      <w:hyperlink r:id="rId51" w:history="1">
        <w:r w:rsidRPr="00774C11">
          <w:rPr>
            <w:rStyle w:val="Hyperlink"/>
            <w:rFonts w:ascii="Garamond" w:hAnsi="Garamond"/>
          </w:rPr>
          <w:t>http://factfinder2.census.gov/faces/tableservices/jsf/pages/productview.xhtml?pid=ACS_10_5YR_DP03&amp;prodType=table</w:t>
        </w:r>
      </w:hyperlink>
    </w:p>
  </w:footnote>
  <w:footnote w:id="66">
    <w:p w:rsidR="001B6FFE" w:rsidRPr="007D07CA" w:rsidRDefault="001B6FFE" w:rsidP="00B5536D">
      <w:pPr>
        <w:pStyle w:val="FootnoteText"/>
        <w:rPr>
          <w:rFonts w:ascii="Garamond" w:hAnsi="Garamond"/>
        </w:rPr>
      </w:pPr>
      <w:r w:rsidRPr="007D07CA">
        <w:rPr>
          <w:rStyle w:val="FootnoteReference"/>
          <w:rFonts w:ascii="Garamond" w:hAnsi="Garamond"/>
        </w:rPr>
        <w:footnoteRef/>
      </w:r>
      <w:hyperlink r:id="rId52" w:history="1">
        <w:r w:rsidRPr="007D07CA">
          <w:rPr>
            <w:rStyle w:val="Hyperlink"/>
            <w:rFonts w:ascii="Garamond" w:hAnsi="Garamond"/>
          </w:rPr>
          <w:t>http://factfinder2.census.gov/faces/tableservices/jsf/pages/productview.xhtml?pid=ACS_10_5YR_DP04&amp;prodType=table</w:t>
        </w:r>
      </w:hyperlink>
    </w:p>
  </w:footnote>
  <w:footnote w:id="67">
    <w:p w:rsidR="001B6FFE" w:rsidRPr="007D07CA" w:rsidRDefault="001B6FFE">
      <w:pPr>
        <w:pStyle w:val="FootnoteText"/>
        <w:rPr>
          <w:rFonts w:ascii="Garamond" w:hAnsi="Garamond"/>
        </w:rPr>
      </w:pPr>
      <w:r w:rsidRPr="007D07CA">
        <w:rPr>
          <w:rStyle w:val="FootnoteReference"/>
          <w:rFonts w:ascii="Garamond" w:hAnsi="Garamond"/>
        </w:rPr>
        <w:footnoteRef/>
      </w:r>
      <w:hyperlink r:id="rId53" w:history="1">
        <w:r w:rsidRPr="007D07CA">
          <w:rPr>
            <w:rStyle w:val="Hyperlink"/>
            <w:rFonts w:ascii="Garamond" w:hAnsi="Garamond"/>
          </w:rPr>
          <w:t>http://factfinder2.census.gov/faces/tableservices/jsf/pages/productview.xhtml?pid=ACS_10_5YR_S2506&amp;prodType=table</w:t>
        </w:r>
      </w:hyperlink>
    </w:p>
  </w:footnote>
  <w:footnote w:id="68">
    <w:p w:rsidR="001B6FFE" w:rsidRPr="007D07CA" w:rsidRDefault="001B6FFE">
      <w:pPr>
        <w:pStyle w:val="FootnoteText"/>
        <w:rPr>
          <w:rFonts w:ascii="Garamond" w:hAnsi="Garamond"/>
        </w:rPr>
      </w:pPr>
      <w:r w:rsidRPr="007D07CA">
        <w:rPr>
          <w:rStyle w:val="FootnoteReference"/>
          <w:rFonts w:ascii="Garamond" w:hAnsi="Garamond"/>
        </w:rPr>
        <w:footnoteRef/>
      </w:r>
      <w:r w:rsidRPr="007D07CA">
        <w:rPr>
          <w:rFonts w:ascii="Garamond" w:hAnsi="Garamond"/>
        </w:rPr>
        <w:t xml:space="preserve"> </w:t>
      </w:r>
      <w:hyperlink r:id="rId54" w:history="1">
        <w:r w:rsidRPr="007D07CA">
          <w:rPr>
            <w:rStyle w:val="Hyperlink"/>
            <w:rFonts w:ascii="Garamond" w:hAnsi="Garamond"/>
          </w:rPr>
          <w:t>http://zillow.com/homes/driggs-ID_rb/</w:t>
        </w:r>
      </w:hyperlink>
    </w:p>
  </w:footnote>
  <w:footnote w:id="69">
    <w:p w:rsidR="001B6FFE" w:rsidRPr="007203B8" w:rsidRDefault="001B6FFE">
      <w:pPr>
        <w:pStyle w:val="FootnoteText"/>
        <w:rPr>
          <w:rFonts w:ascii="Garamond" w:hAnsi="Garamond"/>
        </w:rPr>
      </w:pPr>
      <w:r w:rsidRPr="007D07CA">
        <w:rPr>
          <w:rStyle w:val="FootnoteReference"/>
          <w:rFonts w:ascii="Garamond" w:hAnsi="Garamond"/>
        </w:rPr>
        <w:footnoteRef/>
      </w:r>
      <w:r w:rsidRPr="007D07CA">
        <w:rPr>
          <w:rFonts w:ascii="Garamond" w:hAnsi="Garamond"/>
        </w:rPr>
        <w:t xml:space="preserve"> </w:t>
      </w:r>
      <w:hyperlink r:id="rId55" w:history="1">
        <w:r w:rsidRPr="007D07CA">
          <w:rPr>
            <w:rStyle w:val="Hyperlink"/>
            <w:rFonts w:ascii="Garamond" w:hAnsi="Garamond"/>
          </w:rPr>
          <w:t>http://www.trulia.com/real_estate/Driggs-Idaho/</w:t>
        </w:r>
      </w:hyperlink>
    </w:p>
  </w:footnote>
  <w:footnote w:id="70">
    <w:p w:rsidR="001B6FFE" w:rsidRPr="007B0F7C" w:rsidRDefault="001B6FFE">
      <w:pPr>
        <w:pStyle w:val="FootnoteText"/>
        <w:rPr>
          <w:rFonts w:ascii="Garamond" w:hAnsi="Garamond"/>
        </w:rPr>
      </w:pPr>
      <w:r w:rsidRPr="007B0F7C">
        <w:rPr>
          <w:rStyle w:val="FootnoteReference"/>
          <w:rFonts w:ascii="Garamond" w:hAnsi="Garamond"/>
        </w:rPr>
        <w:footnoteRef/>
      </w:r>
      <w:hyperlink r:id="rId56" w:history="1">
        <w:r w:rsidRPr="007B0F7C">
          <w:rPr>
            <w:rStyle w:val="Hyperlink"/>
            <w:rFonts w:ascii="Garamond" w:hAnsi="Garamond"/>
          </w:rPr>
          <w:t>http://factfinder2.census.gov/faces/tableservices/jsf/pages/productview.xhtml?pid=DEC_10_DP_DPDP1&amp;prodType=table</w:t>
        </w:r>
      </w:hyperlink>
    </w:p>
  </w:footnote>
  <w:footnote w:id="71">
    <w:p w:rsidR="001B6FFE" w:rsidRPr="007B0F7C" w:rsidRDefault="001B6FFE" w:rsidP="00B5536D">
      <w:r w:rsidRPr="007B0F7C">
        <w:rPr>
          <w:rStyle w:val="FootnoteReference"/>
        </w:rPr>
        <w:footnoteRef/>
      </w:r>
      <w:hyperlink r:id="rId57" w:history="1">
        <w:r w:rsidRPr="007B0F7C">
          <w:rPr>
            <w:rStyle w:val="Hyperlink"/>
          </w:rPr>
          <w:t>http://factfinder2.census.gov/faces/tableservices/jsf/pages/productview.xhtml?pid=ACS_10_5YR_DP03&amp;prodType=table</w:t>
        </w:r>
      </w:hyperlink>
    </w:p>
  </w:footnote>
  <w:footnote w:id="72">
    <w:p w:rsidR="001B6FFE" w:rsidRPr="007B0F7C" w:rsidRDefault="001B6FFE" w:rsidP="00B5536D">
      <w:pPr>
        <w:pStyle w:val="FootnoteText"/>
        <w:rPr>
          <w:rFonts w:ascii="Garamond" w:hAnsi="Garamond"/>
        </w:rPr>
      </w:pPr>
      <w:r w:rsidRPr="007B0F7C">
        <w:rPr>
          <w:rStyle w:val="FootnoteReference"/>
          <w:rFonts w:ascii="Garamond" w:hAnsi="Garamond"/>
        </w:rPr>
        <w:footnoteRef/>
      </w:r>
      <w:hyperlink r:id="rId58" w:history="1">
        <w:r w:rsidRPr="007B0F7C">
          <w:rPr>
            <w:rStyle w:val="Hyperlink"/>
            <w:rFonts w:ascii="Garamond" w:hAnsi="Garamond"/>
          </w:rPr>
          <w:t>http://factfinder2.census.gov/faces/tableservices/jsf/pages/productview.xhtml?pid=ACS_10_5YR_DP03&amp;prodType=table</w:t>
        </w:r>
      </w:hyperlink>
    </w:p>
  </w:footnote>
  <w:footnote w:id="73">
    <w:p w:rsidR="001B6FFE" w:rsidRPr="007B0F7C" w:rsidRDefault="001B6FFE" w:rsidP="00B5536D">
      <w:pPr>
        <w:pStyle w:val="FootnoteText"/>
        <w:rPr>
          <w:rFonts w:ascii="Garamond" w:hAnsi="Garamond"/>
          <w:color w:val="DB5353" w:themeColor="hyperlink"/>
          <w:u w:val="single"/>
        </w:rPr>
      </w:pPr>
      <w:r w:rsidRPr="007B0F7C">
        <w:rPr>
          <w:rStyle w:val="FootnoteReference"/>
          <w:rFonts w:ascii="Garamond" w:hAnsi="Garamond"/>
        </w:rPr>
        <w:footnoteRef/>
      </w:r>
      <w:hyperlink r:id="rId59" w:history="1">
        <w:r w:rsidRPr="007B0F7C">
          <w:rPr>
            <w:rStyle w:val="Hyperlink"/>
            <w:rFonts w:ascii="Garamond" w:hAnsi="Garamond"/>
          </w:rPr>
          <w:t>http://factfinder2.census.gov/faces/tableservices/jsf/pages/productview.xhtml?pid=ACS_10_5YR_S2506&amp;prodType=table</w:t>
        </w:r>
      </w:hyperlink>
    </w:p>
  </w:footnote>
  <w:footnote w:id="74">
    <w:p w:rsidR="001B6FFE" w:rsidRDefault="001B6FFE" w:rsidP="007203B8">
      <w:pPr>
        <w:pStyle w:val="FootnoteText"/>
        <w:contextualSpacing/>
      </w:pPr>
      <w:r>
        <w:rPr>
          <w:rStyle w:val="FootnoteReference"/>
        </w:rPr>
        <w:footnoteRef/>
      </w:r>
      <w:hyperlink r:id="rId60" w:history="1">
        <w:r w:rsidRPr="007B0F7C">
          <w:rPr>
            <w:rStyle w:val="Hyperlink"/>
            <w:rFonts w:ascii="Garamond" w:hAnsi="Garamond"/>
          </w:rPr>
          <w:t>http://factfinder2.census.gov/faces/tableservices/jsf/pages/productview.xhtml?pid=ACS_10_5YR_S2506&amp;prodType=table</w:t>
        </w:r>
      </w:hyperlink>
    </w:p>
  </w:footnote>
  <w:footnote w:id="75">
    <w:p w:rsidR="001B6FFE" w:rsidRPr="007B0F7C" w:rsidRDefault="001B6FFE" w:rsidP="007203B8">
      <w:pPr>
        <w:pStyle w:val="FootnoteText"/>
        <w:contextualSpacing/>
        <w:rPr>
          <w:rFonts w:ascii="Garamond" w:hAnsi="Garamond"/>
        </w:rPr>
      </w:pPr>
      <w:r w:rsidRPr="007B0F7C">
        <w:rPr>
          <w:rStyle w:val="FootnoteReference"/>
          <w:rFonts w:ascii="Garamond" w:hAnsi="Garamond"/>
        </w:rPr>
        <w:footnoteRef/>
      </w:r>
      <w:r w:rsidRPr="007B0F7C">
        <w:rPr>
          <w:rFonts w:ascii="Garamond" w:hAnsi="Garamond"/>
        </w:rPr>
        <w:t xml:space="preserve"> </w:t>
      </w:r>
      <w:hyperlink r:id="rId61" w:history="1">
        <w:r w:rsidRPr="007B0F7C">
          <w:rPr>
            <w:rStyle w:val="Hyperlink"/>
            <w:rFonts w:ascii="Garamond" w:hAnsi="Garamond"/>
          </w:rPr>
          <w:t>http://zillow.com/homes/Victor-ID_rb/</w:t>
        </w:r>
      </w:hyperlink>
    </w:p>
  </w:footnote>
  <w:footnote w:id="76">
    <w:p w:rsidR="001B6FFE" w:rsidRDefault="001B6FFE" w:rsidP="007203B8">
      <w:pPr>
        <w:spacing w:line="240" w:lineRule="auto"/>
        <w:contextualSpacing/>
      </w:pPr>
      <w:r w:rsidRPr="007B0F7C">
        <w:rPr>
          <w:rStyle w:val="FootnoteReference"/>
        </w:rPr>
        <w:footnoteRef/>
      </w:r>
      <w:r w:rsidRPr="007B0F7C">
        <w:t xml:space="preserve"> </w:t>
      </w:r>
      <w:hyperlink r:id="rId62" w:history="1">
        <w:r w:rsidRPr="007B0F7C">
          <w:rPr>
            <w:rStyle w:val="Hyperlink"/>
          </w:rPr>
          <w:t>http://www.trulia.com/real_estate/Victor-Idaho/</w:t>
        </w:r>
      </w:hyperlink>
    </w:p>
  </w:footnote>
  <w:footnote w:id="77">
    <w:p w:rsidR="001B6FFE" w:rsidRDefault="001B6FFE" w:rsidP="007203B8">
      <w:pPr>
        <w:pStyle w:val="FootnoteText"/>
        <w:contextualSpacing/>
      </w:pPr>
      <w:r>
        <w:rPr>
          <w:rStyle w:val="FootnoteReference"/>
        </w:rPr>
        <w:footnoteRef/>
      </w:r>
      <w:r>
        <w:t xml:space="preserve"> </w:t>
      </w:r>
      <w:r w:rsidRPr="002D13B8">
        <w:rPr>
          <w:sz w:val="22"/>
          <w:szCs w:val="22"/>
          <w:vertAlign w:val="superscript"/>
        </w:rPr>
        <w:t xml:space="preserve">    </w:t>
      </w:r>
      <w:hyperlink r:id="rId63" w:history="1">
        <w:r w:rsidRPr="00C7795A">
          <w:rPr>
            <w:rStyle w:val="Hyperlink"/>
            <w:rFonts w:ascii="Garamond" w:hAnsi="Garamond"/>
            <w:szCs w:val="22"/>
          </w:rPr>
          <w:t>http://www.city-data.com/city/St.-Anthony-Idaho.html</w:t>
        </w:r>
      </w:hyperlink>
    </w:p>
  </w:footnote>
  <w:footnote w:id="78">
    <w:p w:rsidR="001B6FFE" w:rsidRDefault="001B6FFE">
      <w:pPr>
        <w:pStyle w:val="FootnoteText"/>
        <w:contextualSpacing/>
      </w:pPr>
      <w:r>
        <w:rPr>
          <w:rStyle w:val="FootnoteReference"/>
        </w:rPr>
        <w:footnoteRef/>
      </w:r>
      <w:hyperlink r:id="rId64" w:history="1">
        <w:r w:rsidRPr="00266F44">
          <w:rPr>
            <w:rStyle w:val="Hyperlink"/>
            <w:rFonts w:ascii="Garamond" w:hAnsi="Garamond"/>
          </w:rPr>
          <w:t>http://factfinder2.census.gov/faces/tableservices/jsf/pages/productview.xhtml?pid=ACS_10_5YR_DP03&amp;prodType=table</w:t>
        </w:r>
      </w:hyperlink>
    </w:p>
  </w:footnote>
  <w:footnote w:id="79">
    <w:p w:rsidR="001B6FFE" w:rsidRDefault="001B6FFE">
      <w:pPr>
        <w:pStyle w:val="FootnoteText"/>
        <w:contextualSpacing/>
      </w:pPr>
    </w:p>
  </w:footnote>
  <w:footnote w:id="80">
    <w:p w:rsidR="001B6FFE" w:rsidRDefault="001B6FFE">
      <w:pPr>
        <w:pStyle w:val="FootnoteText"/>
        <w:contextualSpacing/>
      </w:pPr>
      <w:r>
        <w:rPr>
          <w:rStyle w:val="FootnoteReference"/>
        </w:rPr>
        <w:footnoteRef/>
      </w:r>
      <w:hyperlink r:id="rId65" w:history="1">
        <w:r w:rsidRPr="00266F44">
          <w:rPr>
            <w:rStyle w:val="Hyperlink"/>
            <w:rFonts w:ascii="Garamond" w:hAnsi="Garamond"/>
          </w:rPr>
          <w:t>http://factfinder2.census.gov/faces/tableservices/jsf/pages/productview.xhtml?pid=ACS_10_5YR_DP03&amp;prodType=table</w:t>
        </w:r>
      </w:hyperlink>
    </w:p>
  </w:footnote>
  <w:footnote w:id="81">
    <w:p w:rsidR="001B6FFE" w:rsidRPr="00BB3540" w:rsidRDefault="001B6FFE">
      <w:pPr>
        <w:pStyle w:val="FootnoteText"/>
        <w:contextualSpacing/>
        <w:rPr>
          <w:rFonts w:ascii="Garamond" w:hAnsi="Garamond"/>
        </w:rPr>
      </w:pPr>
      <w:r w:rsidRPr="00BB3540">
        <w:rPr>
          <w:rStyle w:val="FootnoteReference"/>
          <w:rFonts w:ascii="Garamond" w:hAnsi="Garamond"/>
        </w:rPr>
        <w:footnoteRef/>
      </w:r>
      <w:r w:rsidRPr="00BB3540">
        <w:rPr>
          <w:rFonts w:ascii="Garamond" w:hAnsi="Garamond"/>
        </w:rPr>
        <w:t>http://factfinder2.census.gov/faces/tableservices/jsf/pages/productview.xhtml?pid=ACS_10_5YR_DP04&amp;prodType=table</w:t>
      </w:r>
    </w:p>
  </w:footnote>
  <w:footnote w:id="82">
    <w:p w:rsidR="001B6FFE" w:rsidRPr="00BB3540" w:rsidRDefault="001B6FFE">
      <w:pPr>
        <w:pStyle w:val="FootnoteText"/>
        <w:contextualSpacing/>
        <w:rPr>
          <w:rFonts w:ascii="Garamond" w:hAnsi="Garamond"/>
        </w:rPr>
      </w:pPr>
      <w:r w:rsidRPr="00BB3540">
        <w:rPr>
          <w:rStyle w:val="FootnoteReference"/>
          <w:rFonts w:ascii="Garamond" w:hAnsi="Garamond"/>
        </w:rPr>
        <w:footnoteRef/>
      </w:r>
      <w:hyperlink r:id="rId66" w:history="1">
        <w:r w:rsidRPr="00BB3540">
          <w:rPr>
            <w:rStyle w:val="Hyperlink"/>
            <w:rFonts w:ascii="Garamond" w:hAnsi="Garamond"/>
          </w:rPr>
          <w:t>http://factfinder2.census.gov/faces/tableservices/jsf/pages/productview.xhtml?pid=ACS_10_5YR_DP04&amp;prodType=table</w:t>
        </w:r>
      </w:hyperlink>
    </w:p>
  </w:footnote>
  <w:footnote w:id="83">
    <w:p w:rsidR="001B6FFE" w:rsidRDefault="001B6FFE" w:rsidP="00B5536D">
      <w:pPr>
        <w:pStyle w:val="FootnoteText"/>
      </w:pPr>
      <w:r w:rsidRPr="00BB3540">
        <w:rPr>
          <w:rStyle w:val="FootnoteReference"/>
          <w:rFonts w:ascii="Garamond" w:hAnsi="Garamond"/>
        </w:rPr>
        <w:footnoteRef/>
      </w:r>
      <w:r w:rsidRPr="00BB3540">
        <w:rPr>
          <w:rFonts w:ascii="Garamond" w:hAnsi="Garamond"/>
        </w:rPr>
        <w:t xml:space="preserve"> </w:t>
      </w:r>
      <w:hyperlink r:id="rId67" w:history="1">
        <w:r w:rsidRPr="00BB3540">
          <w:rPr>
            <w:rStyle w:val="Hyperlink"/>
            <w:rFonts w:ascii="Garamond" w:hAnsi="Garamond"/>
          </w:rPr>
          <w:t>http://www.trulia.com/for_sale/Saint_Anthony,ID/x_map/</w:t>
        </w:r>
      </w:hyperlink>
    </w:p>
  </w:footnote>
  <w:footnote w:id="84">
    <w:p w:rsidR="001B6FFE" w:rsidRDefault="001B6FFE" w:rsidP="001C0D3D">
      <w:pPr>
        <w:pStyle w:val="FootnoteText"/>
      </w:pPr>
      <w:r>
        <w:rPr>
          <w:rStyle w:val="FootnoteReference"/>
        </w:rPr>
        <w:footnoteRef/>
      </w:r>
      <w:r>
        <w:t xml:space="preserve"> </w:t>
      </w:r>
      <w:r w:rsidRPr="001C0D3D">
        <w:rPr>
          <w:color w:val="000000"/>
        </w:rPr>
        <w:t>http://www.mlcalc.com/#mortgage-709100-10-30-4.5-0-0-0-6-2012-year</w:t>
      </w:r>
    </w:p>
  </w:footnote>
  <w:footnote w:id="85">
    <w:p w:rsidR="001B6FFE" w:rsidRDefault="001B6FFE">
      <w:pPr>
        <w:pStyle w:val="FootnoteText"/>
      </w:pPr>
      <w:r>
        <w:rPr>
          <w:rStyle w:val="FootnoteReference"/>
        </w:rPr>
        <w:footnoteRef/>
      </w:r>
      <w:r>
        <w:t xml:space="preserve"> </w:t>
      </w:r>
      <w:r w:rsidRPr="001C0D3D">
        <w:rPr>
          <w:color w:val="000000"/>
        </w:rPr>
        <w:t>http://www.mlcalc.com/#mortgage-709100-10-30-4.5-0-0-0-6-2012-year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5ED8"/>
    <w:multiLevelType w:val="hybridMultilevel"/>
    <w:tmpl w:val="DB84D08E"/>
    <w:lvl w:ilvl="0" w:tplc="0A245F0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49199D"/>
    <w:multiLevelType w:val="hybridMultilevel"/>
    <w:tmpl w:val="9830D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06301"/>
    <w:multiLevelType w:val="hybridMultilevel"/>
    <w:tmpl w:val="8036FC04"/>
    <w:lvl w:ilvl="0" w:tplc="2598AA94">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2654D"/>
    <w:multiLevelType w:val="hybridMultilevel"/>
    <w:tmpl w:val="67AE04EA"/>
    <w:lvl w:ilvl="0" w:tplc="05A28868">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63F48"/>
    <w:multiLevelType w:val="hybridMultilevel"/>
    <w:tmpl w:val="340E66E4"/>
    <w:lvl w:ilvl="0" w:tplc="634261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33715"/>
    <w:multiLevelType w:val="hybridMultilevel"/>
    <w:tmpl w:val="33C2EC1C"/>
    <w:lvl w:ilvl="0" w:tplc="916680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A6D65"/>
    <w:multiLevelType w:val="hybridMultilevel"/>
    <w:tmpl w:val="9C3ACE52"/>
    <w:lvl w:ilvl="0" w:tplc="B616ED7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D7F12CE"/>
    <w:multiLevelType w:val="hybridMultilevel"/>
    <w:tmpl w:val="7034E798"/>
    <w:lvl w:ilvl="0" w:tplc="57ACEE02">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23315B3"/>
    <w:multiLevelType w:val="hybridMultilevel"/>
    <w:tmpl w:val="379A8994"/>
    <w:lvl w:ilvl="0" w:tplc="6E6CAB7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94A1CA7"/>
    <w:multiLevelType w:val="hybridMultilevel"/>
    <w:tmpl w:val="9C82C69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426E4D"/>
    <w:multiLevelType w:val="hybridMultilevel"/>
    <w:tmpl w:val="27CC3BA0"/>
    <w:lvl w:ilvl="0" w:tplc="B07AA48C">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77B0264"/>
    <w:multiLevelType w:val="hybridMultilevel"/>
    <w:tmpl w:val="D778D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491975C2"/>
    <w:multiLevelType w:val="hybridMultilevel"/>
    <w:tmpl w:val="565A5532"/>
    <w:lvl w:ilvl="0" w:tplc="6F3CAE2C">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973EA"/>
    <w:multiLevelType w:val="hybridMultilevel"/>
    <w:tmpl w:val="702E2B72"/>
    <w:lvl w:ilvl="0" w:tplc="2B1E932C">
      <w:start w:val="2"/>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0BC7344"/>
    <w:multiLevelType w:val="hybridMultilevel"/>
    <w:tmpl w:val="33629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FF46C0"/>
    <w:multiLevelType w:val="hybridMultilevel"/>
    <w:tmpl w:val="4DD6585E"/>
    <w:lvl w:ilvl="0" w:tplc="9F1A2D3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B05285F"/>
    <w:multiLevelType w:val="hybridMultilevel"/>
    <w:tmpl w:val="D95C33E0"/>
    <w:lvl w:ilvl="0" w:tplc="69AC7FD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633D33"/>
    <w:multiLevelType w:val="multilevel"/>
    <w:tmpl w:val="33629D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6E076CB"/>
    <w:multiLevelType w:val="hybridMultilevel"/>
    <w:tmpl w:val="D2024620"/>
    <w:lvl w:ilvl="0" w:tplc="9BE42982">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006C3"/>
    <w:multiLevelType w:val="hybridMultilevel"/>
    <w:tmpl w:val="A83483FA"/>
    <w:lvl w:ilvl="0" w:tplc="790661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D94F41"/>
    <w:multiLevelType w:val="hybridMultilevel"/>
    <w:tmpl w:val="79F0820C"/>
    <w:lvl w:ilvl="0" w:tplc="78BC329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634070"/>
    <w:multiLevelType w:val="hybridMultilevel"/>
    <w:tmpl w:val="7034E798"/>
    <w:lvl w:ilvl="0" w:tplc="57ACEE02">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21B585C"/>
    <w:multiLevelType w:val="hybridMultilevel"/>
    <w:tmpl w:val="7034E798"/>
    <w:lvl w:ilvl="0" w:tplc="57ACEE02">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3A54103"/>
    <w:multiLevelType w:val="hybridMultilevel"/>
    <w:tmpl w:val="7034E798"/>
    <w:lvl w:ilvl="0" w:tplc="57ACEE02">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536654F"/>
    <w:multiLevelType w:val="hybridMultilevel"/>
    <w:tmpl w:val="C6EE5260"/>
    <w:lvl w:ilvl="0" w:tplc="B38221EC">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D3107F"/>
    <w:multiLevelType w:val="hybridMultilevel"/>
    <w:tmpl w:val="D1400CBE"/>
    <w:lvl w:ilvl="0" w:tplc="EE0CE80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8"/>
  </w:num>
  <w:num w:numId="5">
    <w:abstractNumId w:val="9"/>
  </w:num>
  <w:num w:numId="6">
    <w:abstractNumId w:val="25"/>
  </w:num>
  <w:num w:numId="7">
    <w:abstractNumId w:val="15"/>
  </w:num>
  <w:num w:numId="8">
    <w:abstractNumId w:val="13"/>
  </w:num>
  <w:num w:numId="9">
    <w:abstractNumId w:val="0"/>
  </w:num>
  <w:num w:numId="10">
    <w:abstractNumId w:val="10"/>
  </w:num>
  <w:num w:numId="11">
    <w:abstractNumId w:val="7"/>
  </w:num>
  <w:num w:numId="12">
    <w:abstractNumId w:val="6"/>
  </w:num>
  <w:num w:numId="13">
    <w:abstractNumId w:val="19"/>
  </w:num>
  <w:num w:numId="14">
    <w:abstractNumId w:val="14"/>
  </w:num>
  <w:num w:numId="15">
    <w:abstractNumId w:val="5"/>
  </w:num>
  <w:num w:numId="16">
    <w:abstractNumId w:val="17"/>
  </w:num>
  <w:num w:numId="17">
    <w:abstractNumId w:val="2"/>
  </w:num>
  <w:num w:numId="18">
    <w:abstractNumId w:val="18"/>
  </w:num>
  <w:num w:numId="19">
    <w:abstractNumId w:val="24"/>
  </w:num>
  <w:num w:numId="20">
    <w:abstractNumId w:val="1"/>
  </w:num>
  <w:num w:numId="21">
    <w:abstractNumId w:val="4"/>
  </w:num>
  <w:num w:numId="22">
    <w:abstractNumId w:val="12"/>
  </w:num>
  <w:num w:numId="23">
    <w:abstractNumId w:val="23"/>
  </w:num>
  <w:num w:numId="24">
    <w:abstractNumId w:val="22"/>
  </w:num>
  <w:num w:numId="25">
    <w:abstractNumId w:val="16"/>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hdrShapeDefaults>
    <o:shapedefaults v:ext="edit" spidmax="7169">
      <o:colormru v:ext="edit" colors="#005400,#3d5d3d,#2f472f,#3c5a3c,#636467,#556508,#bbc41f"/>
      <o:colormenu v:ext="edit" fillcolor="#3c5a3c" strokecolor="#bbc41f"/>
    </o:shapedefaults>
  </w:hdrShapeDefaults>
  <w:footnotePr>
    <w:footnote w:id="-1"/>
    <w:footnote w:id="0"/>
  </w:footnotePr>
  <w:endnotePr>
    <w:endnote w:id="-1"/>
    <w:endnote w:id="0"/>
  </w:endnotePr>
  <w:compat/>
  <w:rsids>
    <w:rsidRoot w:val="00DE29D5"/>
    <w:rsid w:val="00000C72"/>
    <w:rsid w:val="000124E1"/>
    <w:rsid w:val="000146C9"/>
    <w:rsid w:val="00032078"/>
    <w:rsid w:val="00072035"/>
    <w:rsid w:val="00091090"/>
    <w:rsid w:val="0011588A"/>
    <w:rsid w:val="00127AE4"/>
    <w:rsid w:val="00130266"/>
    <w:rsid w:val="00147D6D"/>
    <w:rsid w:val="00155C31"/>
    <w:rsid w:val="001576A7"/>
    <w:rsid w:val="00167CBE"/>
    <w:rsid w:val="001733CC"/>
    <w:rsid w:val="001734B7"/>
    <w:rsid w:val="001B6FFE"/>
    <w:rsid w:val="001C0D3D"/>
    <w:rsid w:val="00206950"/>
    <w:rsid w:val="00223A7A"/>
    <w:rsid w:val="00232967"/>
    <w:rsid w:val="00244690"/>
    <w:rsid w:val="00250426"/>
    <w:rsid w:val="00266D60"/>
    <w:rsid w:val="002767C7"/>
    <w:rsid w:val="00277F7A"/>
    <w:rsid w:val="002D069C"/>
    <w:rsid w:val="002D748E"/>
    <w:rsid w:val="002E1EB3"/>
    <w:rsid w:val="0030375F"/>
    <w:rsid w:val="00313FD6"/>
    <w:rsid w:val="00355BC6"/>
    <w:rsid w:val="00364E18"/>
    <w:rsid w:val="003654B7"/>
    <w:rsid w:val="00373104"/>
    <w:rsid w:val="00376780"/>
    <w:rsid w:val="00386308"/>
    <w:rsid w:val="003A2460"/>
    <w:rsid w:val="004049A6"/>
    <w:rsid w:val="00445CFA"/>
    <w:rsid w:val="00452EC5"/>
    <w:rsid w:val="004A48B0"/>
    <w:rsid w:val="004C24C4"/>
    <w:rsid w:val="004E5D0D"/>
    <w:rsid w:val="00521747"/>
    <w:rsid w:val="005510B3"/>
    <w:rsid w:val="005B3D08"/>
    <w:rsid w:val="005F2BB0"/>
    <w:rsid w:val="00651E33"/>
    <w:rsid w:val="00670D54"/>
    <w:rsid w:val="0068386C"/>
    <w:rsid w:val="006A63AF"/>
    <w:rsid w:val="006B7189"/>
    <w:rsid w:val="006E16DB"/>
    <w:rsid w:val="006F07B3"/>
    <w:rsid w:val="00700D00"/>
    <w:rsid w:val="00707511"/>
    <w:rsid w:val="00713818"/>
    <w:rsid w:val="007203B8"/>
    <w:rsid w:val="00730333"/>
    <w:rsid w:val="007352A7"/>
    <w:rsid w:val="00752B21"/>
    <w:rsid w:val="00763023"/>
    <w:rsid w:val="00764386"/>
    <w:rsid w:val="00774596"/>
    <w:rsid w:val="00780420"/>
    <w:rsid w:val="0078085C"/>
    <w:rsid w:val="007941A2"/>
    <w:rsid w:val="007C7E5D"/>
    <w:rsid w:val="007D0CC0"/>
    <w:rsid w:val="00842E50"/>
    <w:rsid w:val="008C7D1C"/>
    <w:rsid w:val="008D7016"/>
    <w:rsid w:val="008F607A"/>
    <w:rsid w:val="00904256"/>
    <w:rsid w:val="0091161D"/>
    <w:rsid w:val="00956365"/>
    <w:rsid w:val="00957B04"/>
    <w:rsid w:val="0096072B"/>
    <w:rsid w:val="00960AFA"/>
    <w:rsid w:val="00972AF0"/>
    <w:rsid w:val="00981CE4"/>
    <w:rsid w:val="009A5419"/>
    <w:rsid w:val="009F7B82"/>
    <w:rsid w:val="00A00B21"/>
    <w:rsid w:val="00A14351"/>
    <w:rsid w:val="00A76E8D"/>
    <w:rsid w:val="00A77B10"/>
    <w:rsid w:val="00A8562B"/>
    <w:rsid w:val="00A93140"/>
    <w:rsid w:val="00AA2CEB"/>
    <w:rsid w:val="00AA3489"/>
    <w:rsid w:val="00AB318E"/>
    <w:rsid w:val="00AF0BDC"/>
    <w:rsid w:val="00AF1CDF"/>
    <w:rsid w:val="00AF46C9"/>
    <w:rsid w:val="00B01EAF"/>
    <w:rsid w:val="00B5536D"/>
    <w:rsid w:val="00B85456"/>
    <w:rsid w:val="00B864AC"/>
    <w:rsid w:val="00BA4FDF"/>
    <w:rsid w:val="00BC10AC"/>
    <w:rsid w:val="00C10ABC"/>
    <w:rsid w:val="00C208C9"/>
    <w:rsid w:val="00C263E3"/>
    <w:rsid w:val="00C27560"/>
    <w:rsid w:val="00C46CE8"/>
    <w:rsid w:val="00C46DEB"/>
    <w:rsid w:val="00C644F2"/>
    <w:rsid w:val="00C9396E"/>
    <w:rsid w:val="00CB669B"/>
    <w:rsid w:val="00CC0BA6"/>
    <w:rsid w:val="00CC2033"/>
    <w:rsid w:val="00D01D8B"/>
    <w:rsid w:val="00D2319F"/>
    <w:rsid w:val="00D50FEC"/>
    <w:rsid w:val="00DA5328"/>
    <w:rsid w:val="00DC3FD1"/>
    <w:rsid w:val="00DD05C3"/>
    <w:rsid w:val="00DD3AA9"/>
    <w:rsid w:val="00DE29D5"/>
    <w:rsid w:val="00E36701"/>
    <w:rsid w:val="00E552E7"/>
    <w:rsid w:val="00E75ED3"/>
    <w:rsid w:val="00E92067"/>
    <w:rsid w:val="00EB563C"/>
    <w:rsid w:val="00ED17A9"/>
    <w:rsid w:val="00EE571F"/>
    <w:rsid w:val="00EF08CD"/>
    <w:rsid w:val="00F21271"/>
    <w:rsid w:val="00F53990"/>
    <w:rsid w:val="00F73DD5"/>
    <w:rsid w:val="00F83196"/>
    <w:rsid w:val="00FC7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colormru v:ext="edit" colors="#005400,#3d5d3d,#2f472f,#3c5a3c,#636467,#556508,#bbc41f"/>
      <o:colormenu v:ext="edit" fillcolor="#3c5a3c" strokecolor="#bbc41f"/>
    </o:shapedefaults>
    <o:shapelayout v:ext="edit">
      <o:idmap v:ext="edit" data="1"/>
      <o:rules v:ext="edit">
        <o:r id="V:Rule3" type="connector" idref="#_x0000_s1043"/>
        <o:r id="V:Rule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footer" w:uiPriority="99"/>
    <w:lsdException w:name="Hyperlink" w:uiPriority="99"/>
    <w:lsdException w:name="TOC Heading" w:uiPriority="39" w:qFormat="1"/>
  </w:latentStyles>
  <w:style w:type="paragraph" w:default="1" w:styleId="Normal">
    <w:name w:val="Normal"/>
    <w:qFormat/>
    <w:rsid w:val="0030375F"/>
  </w:style>
  <w:style w:type="paragraph" w:styleId="Heading1">
    <w:name w:val="heading 1"/>
    <w:basedOn w:val="Normal"/>
    <w:next w:val="Normal"/>
    <w:link w:val="Heading1Char"/>
    <w:uiPriority w:val="9"/>
    <w:qFormat/>
    <w:rsid w:val="00A76E8D"/>
    <w:pPr>
      <w:keepNext/>
      <w:keepLines/>
      <w:spacing w:before="480" w:after="0"/>
      <w:outlineLvl w:val="0"/>
    </w:pPr>
    <w:rPr>
      <w:rFonts w:eastAsiaTheme="majorEastAsia" w:cstheme="majorBidi"/>
      <w:b/>
      <w:bCs/>
      <w:color w:val="527D55" w:themeColor="accent1" w:themeShade="BF"/>
      <w:sz w:val="28"/>
      <w:szCs w:val="28"/>
    </w:rPr>
  </w:style>
  <w:style w:type="paragraph" w:styleId="Heading2">
    <w:name w:val="heading 2"/>
    <w:basedOn w:val="Normal"/>
    <w:next w:val="Normal"/>
    <w:link w:val="Heading2Char"/>
    <w:unhideWhenUsed/>
    <w:qFormat/>
    <w:rsid w:val="00445CFA"/>
    <w:pPr>
      <w:keepNext/>
      <w:keepLines/>
      <w:spacing w:before="200" w:after="0"/>
      <w:outlineLvl w:val="1"/>
    </w:pPr>
    <w:rPr>
      <w:rFonts w:eastAsiaTheme="majorEastAsia" w:cstheme="majorBidi"/>
      <w:b/>
      <w:bCs/>
      <w:color w:val="556508"/>
      <w:sz w:val="26"/>
      <w:szCs w:val="26"/>
    </w:rPr>
  </w:style>
  <w:style w:type="paragraph" w:styleId="Heading3">
    <w:name w:val="heading 3"/>
    <w:basedOn w:val="Normal"/>
    <w:next w:val="Normal"/>
    <w:link w:val="Heading3Char"/>
    <w:unhideWhenUsed/>
    <w:qFormat/>
    <w:rsid w:val="00445CFA"/>
    <w:pPr>
      <w:keepNext/>
      <w:keepLines/>
      <w:spacing w:before="200" w:after="0"/>
      <w:outlineLvl w:val="2"/>
    </w:pPr>
    <w:rPr>
      <w:rFonts w:asciiTheme="majorHAnsi" w:eastAsiaTheme="majorEastAsia" w:hAnsiTheme="majorHAnsi" w:cstheme="majorBidi"/>
      <w:b/>
      <w:bCs/>
      <w:color w:val="55650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E8D"/>
    <w:rPr>
      <w:rFonts w:eastAsiaTheme="majorEastAsia" w:cstheme="majorBidi"/>
      <w:b/>
      <w:bCs/>
      <w:color w:val="527D55" w:themeColor="accent1" w:themeShade="BF"/>
      <w:sz w:val="28"/>
      <w:szCs w:val="28"/>
    </w:rPr>
  </w:style>
  <w:style w:type="character" w:customStyle="1" w:styleId="Heading2Char">
    <w:name w:val="Heading 2 Char"/>
    <w:basedOn w:val="DefaultParagraphFont"/>
    <w:link w:val="Heading2"/>
    <w:rsid w:val="00445CFA"/>
    <w:rPr>
      <w:rFonts w:eastAsiaTheme="majorEastAsia" w:cstheme="majorBidi"/>
      <w:b/>
      <w:bCs/>
      <w:color w:val="556508"/>
      <w:sz w:val="26"/>
      <w:szCs w:val="26"/>
    </w:rPr>
  </w:style>
  <w:style w:type="character" w:customStyle="1" w:styleId="Heading3Char">
    <w:name w:val="Heading 3 Char"/>
    <w:basedOn w:val="DefaultParagraphFont"/>
    <w:link w:val="Heading3"/>
    <w:rsid w:val="00445CFA"/>
    <w:rPr>
      <w:rFonts w:asciiTheme="majorHAnsi" w:eastAsiaTheme="majorEastAsia" w:hAnsiTheme="majorHAnsi" w:cstheme="majorBidi"/>
      <w:b/>
      <w:bCs/>
      <w:color w:val="556508"/>
    </w:rPr>
  </w:style>
  <w:style w:type="paragraph" w:styleId="Title">
    <w:name w:val="Title"/>
    <w:basedOn w:val="Normal"/>
    <w:next w:val="Normal"/>
    <w:link w:val="TitleChar"/>
    <w:uiPriority w:val="10"/>
    <w:qFormat/>
    <w:rsid w:val="0030375F"/>
    <w:pPr>
      <w:pBdr>
        <w:bottom w:val="single" w:sz="8" w:space="4" w:color="72A376" w:themeColor="accent1"/>
      </w:pBdr>
      <w:spacing w:after="300" w:line="240" w:lineRule="auto"/>
      <w:contextualSpacing/>
    </w:pPr>
    <w:rPr>
      <w:rFonts w:eastAsiaTheme="majorEastAsia" w:cstheme="majorBidi"/>
      <w:color w:val="4D4F3F" w:themeColor="text2" w:themeShade="BF"/>
      <w:spacing w:val="5"/>
      <w:kern w:val="28"/>
      <w:sz w:val="52"/>
      <w:szCs w:val="52"/>
    </w:rPr>
  </w:style>
  <w:style w:type="character" w:customStyle="1" w:styleId="TitleChar">
    <w:name w:val="Title Char"/>
    <w:basedOn w:val="DefaultParagraphFont"/>
    <w:link w:val="Title"/>
    <w:uiPriority w:val="10"/>
    <w:rsid w:val="0030375F"/>
    <w:rPr>
      <w:rFonts w:eastAsiaTheme="majorEastAsia" w:cstheme="majorBidi"/>
      <w:color w:val="4D4F3F" w:themeColor="text2" w:themeShade="BF"/>
      <w:spacing w:val="5"/>
      <w:kern w:val="28"/>
      <w:sz w:val="52"/>
      <w:szCs w:val="52"/>
    </w:rPr>
  </w:style>
  <w:style w:type="paragraph" w:styleId="Subtitle">
    <w:name w:val="Subtitle"/>
    <w:basedOn w:val="Normal"/>
    <w:next w:val="Normal"/>
    <w:link w:val="SubtitleChar"/>
    <w:uiPriority w:val="11"/>
    <w:qFormat/>
    <w:rsid w:val="00445CFA"/>
    <w:pPr>
      <w:numPr>
        <w:ilvl w:val="1"/>
      </w:numPr>
    </w:pPr>
    <w:rPr>
      <w:rFonts w:eastAsiaTheme="majorEastAsia" w:cstheme="majorBidi"/>
      <w:i/>
      <w:iCs/>
      <w:color w:val="556508"/>
      <w:spacing w:val="15"/>
      <w:szCs w:val="24"/>
    </w:rPr>
  </w:style>
  <w:style w:type="character" w:customStyle="1" w:styleId="SubtitleChar">
    <w:name w:val="Subtitle Char"/>
    <w:basedOn w:val="DefaultParagraphFont"/>
    <w:link w:val="Subtitle"/>
    <w:uiPriority w:val="11"/>
    <w:rsid w:val="00445CFA"/>
    <w:rPr>
      <w:rFonts w:eastAsiaTheme="majorEastAsia" w:cstheme="majorBidi"/>
      <w:i/>
      <w:iCs/>
      <w:color w:val="556508"/>
      <w:spacing w:val="15"/>
      <w:szCs w:val="24"/>
    </w:rPr>
  </w:style>
  <w:style w:type="paragraph" w:styleId="NoSpacing">
    <w:name w:val="No Spacing"/>
    <w:link w:val="NoSpacingChar"/>
    <w:uiPriority w:val="1"/>
    <w:qFormat/>
    <w:rsid w:val="0030375F"/>
    <w:pPr>
      <w:spacing w:after="0" w:line="240" w:lineRule="auto"/>
    </w:pPr>
  </w:style>
  <w:style w:type="character" w:customStyle="1" w:styleId="NoSpacingChar">
    <w:name w:val="No Spacing Char"/>
    <w:basedOn w:val="DefaultParagraphFont"/>
    <w:link w:val="NoSpacing"/>
    <w:uiPriority w:val="1"/>
    <w:rsid w:val="00DE29D5"/>
  </w:style>
  <w:style w:type="paragraph" w:styleId="BalloonText">
    <w:name w:val="Balloon Text"/>
    <w:basedOn w:val="Normal"/>
    <w:link w:val="BalloonTextChar"/>
    <w:uiPriority w:val="99"/>
    <w:unhideWhenUsed/>
    <w:rsid w:val="00DE2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29D5"/>
    <w:rPr>
      <w:rFonts w:ascii="Tahoma" w:hAnsi="Tahoma" w:cs="Tahoma"/>
      <w:sz w:val="16"/>
      <w:szCs w:val="16"/>
    </w:rPr>
  </w:style>
  <w:style w:type="character" w:customStyle="1" w:styleId="BalloonTextChar1">
    <w:name w:val="Balloon Text Char1"/>
    <w:basedOn w:val="DefaultParagraphFont"/>
    <w:uiPriority w:val="99"/>
    <w:semiHidden/>
    <w:rsid w:val="00A8562B"/>
    <w:rPr>
      <w:rFonts w:ascii="Lucida Grande" w:hAnsi="Lucida Grande"/>
      <w:sz w:val="18"/>
      <w:szCs w:val="18"/>
    </w:rPr>
  </w:style>
  <w:style w:type="paragraph" w:styleId="FootnoteText">
    <w:name w:val="footnote text"/>
    <w:basedOn w:val="Normal"/>
    <w:link w:val="FootnoteTextChar"/>
    <w:uiPriority w:val="99"/>
    <w:unhideWhenUsed/>
    <w:rsid w:val="00A8562B"/>
    <w:pPr>
      <w:spacing w:after="0" w:line="240" w:lineRule="auto"/>
    </w:pPr>
    <w:rPr>
      <w:rFonts w:asciiTheme="minorHAnsi" w:hAnsiTheme="minorHAnsi"/>
      <w:szCs w:val="24"/>
    </w:rPr>
  </w:style>
  <w:style w:type="character" w:customStyle="1" w:styleId="FootnoteTextChar">
    <w:name w:val="Footnote Text Char"/>
    <w:basedOn w:val="DefaultParagraphFont"/>
    <w:link w:val="FootnoteText"/>
    <w:uiPriority w:val="99"/>
    <w:rsid w:val="00A8562B"/>
    <w:rPr>
      <w:rFonts w:asciiTheme="minorHAnsi" w:hAnsiTheme="minorHAnsi"/>
      <w:szCs w:val="24"/>
    </w:rPr>
  </w:style>
  <w:style w:type="character" w:styleId="FootnoteReference">
    <w:name w:val="footnote reference"/>
    <w:basedOn w:val="DefaultParagraphFont"/>
    <w:uiPriority w:val="99"/>
    <w:unhideWhenUsed/>
    <w:rsid w:val="00A8562B"/>
    <w:rPr>
      <w:vertAlign w:val="superscript"/>
    </w:rPr>
  </w:style>
  <w:style w:type="table" w:styleId="TableGrid">
    <w:name w:val="Table Grid"/>
    <w:basedOn w:val="TableNormal"/>
    <w:rsid w:val="00A8562B"/>
    <w:pPr>
      <w:spacing w:after="0" w:line="240" w:lineRule="auto"/>
    </w:pPr>
    <w:rPr>
      <w:rFonts w:asciiTheme="minorHAnsi" w:hAnsiTheme="minorHAnsi"/>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A8562B"/>
    <w:rPr>
      <w:color w:val="DB5353" w:themeColor="hyperlink"/>
      <w:u w:val="single"/>
    </w:rPr>
  </w:style>
  <w:style w:type="character" w:styleId="FollowedHyperlink">
    <w:name w:val="FollowedHyperlink"/>
    <w:basedOn w:val="DefaultParagraphFont"/>
    <w:uiPriority w:val="99"/>
    <w:rsid w:val="00A8562B"/>
    <w:rPr>
      <w:color w:val="903638" w:themeColor="followedHyperlink"/>
      <w:u w:val="single"/>
    </w:rPr>
  </w:style>
  <w:style w:type="paragraph" w:styleId="ListParagraph">
    <w:name w:val="List Paragraph"/>
    <w:basedOn w:val="Normal"/>
    <w:rsid w:val="00A8562B"/>
    <w:pPr>
      <w:spacing w:after="0" w:line="240" w:lineRule="auto"/>
      <w:ind w:left="720"/>
      <w:contextualSpacing/>
    </w:pPr>
    <w:rPr>
      <w:rFonts w:asciiTheme="minorHAnsi" w:hAnsiTheme="minorHAnsi"/>
      <w:szCs w:val="24"/>
    </w:rPr>
  </w:style>
  <w:style w:type="paragraph" w:customStyle="1" w:styleId="Default">
    <w:name w:val="Default"/>
    <w:rsid w:val="00A8562B"/>
    <w:pPr>
      <w:autoSpaceDE w:val="0"/>
      <w:autoSpaceDN w:val="0"/>
      <w:adjustRightInd w:val="0"/>
      <w:spacing w:after="0" w:line="240" w:lineRule="auto"/>
    </w:pPr>
    <w:rPr>
      <w:rFonts w:ascii="Calibri" w:eastAsia="Cambria" w:hAnsi="Calibri" w:cs="Calibri"/>
      <w:color w:val="000000"/>
      <w:szCs w:val="24"/>
    </w:rPr>
  </w:style>
  <w:style w:type="character" w:customStyle="1" w:styleId="CommentTextChar">
    <w:name w:val="Comment Text Char"/>
    <w:basedOn w:val="DefaultParagraphFont"/>
    <w:link w:val="CommentText"/>
    <w:rsid w:val="00A8562B"/>
    <w:rPr>
      <w:rFonts w:asciiTheme="minorHAnsi" w:hAnsiTheme="minorHAnsi"/>
      <w:szCs w:val="24"/>
    </w:rPr>
  </w:style>
  <w:style w:type="paragraph" w:styleId="CommentText">
    <w:name w:val="annotation text"/>
    <w:basedOn w:val="Normal"/>
    <w:link w:val="CommentTextChar"/>
    <w:unhideWhenUsed/>
    <w:rsid w:val="00A8562B"/>
    <w:pPr>
      <w:spacing w:after="0" w:line="240" w:lineRule="auto"/>
    </w:pPr>
    <w:rPr>
      <w:rFonts w:asciiTheme="minorHAnsi" w:hAnsiTheme="minorHAnsi"/>
      <w:szCs w:val="24"/>
    </w:rPr>
  </w:style>
  <w:style w:type="character" w:customStyle="1" w:styleId="CommentSubjectChar">
    <w:name w:val="Comment Subject Char"/>
    <w:basedOn w:val="CommentTextChar"/>
    <w:link w:val="CommentSubject"/>
    <w:rsid w:val="00A8562B"/>
    <w:rPr>
      <w:b/>
      <w:bCs/>
      <w:sz w:val="20"/>
      <w:szCs w:val="20"/>
    </w:rPr>
  </w:style>
  <w:style w:type="paragraph" w:styleId="CommentSubject">
    <w:name w:val="annotation subject"/>
    <w:basedOn w:val="CommentText"/>
    <w:next w:val="CommentText"/>
    <w:link w:val="CommentSubjectChar"/>
    <w:unhideWhenUsed/>
    <w:rsid w:val="00A8562B"/>
    <w:rPr>
      <w:b/>
      <w:bCs/>
      <w:sz w:val="20"/>
      <w:szCs w:val="20"/>
    </w:rPr>
  </w:style>
  <w:style w:type="paragraph" w:styleId="Header">
    <w:name w:val="header"/>
    <w:basedOn w:val="Normal"/>
    <w:link w:val="HeaderChar"/>
    <w:uiPriority w:val="99"/>
    <w:unhideWhenUsed/>
    <w:rsid w:val="00A8562B"/>
    <w:pPr>
      <w:tabs>
        <w:tab w:val="center" w:pos="4320"/>
        <w:tab w:val="right" w:pos="8640"/>
      </w:tabs>
      <w:spacing w:after="0" w:line="240" w:lineRule="auto"/>
    </w:pPr>
    <w:rPr>
      <w:rFonts w:asciiTheme="minorHAnsi" w:hAnsiTheme="minorHAnsi"/>
      <w:szCs w:val="24"/>
    </w:rPr>
  </w:style>
  <w:style w:type="character" w:customStyle="1" w:styleId="HeaderChar">
    <w:name w:val="Header Char"/>
    <w:basedOn w:val="DefaultParagraphFont"/>
    <w:link w:val="Header"/>
    <w:uiPriority w:val="99"/>
    <w:rsid w:val="00A8562B"/>
    <w:rPr>
      <w:rFonts w:asciiTheme="minorHAnsi" w:hAnsiTheme="minorHAnsi"/>
      <w:szCs w:val="24"/>
    </w:rPr>
  </w:style>
  <w:style w:type="paragraph" w:styleId="Footer">
    <w:name w:val="footer"/>
    <w:basedOn w:val="Normal"/>
    <w:link w:val="FooterChar"/>
    <w:uiPriority w:val="99"/>
    <w:unhideWhenUsed/>
    <w:rsid w:val="00A8562B"/>
    <w:pPr>
      <w:tabs>
        <w:tab w:val="center" w:pos="4320"/>
        <w:tab w:val="right" w:pos="8640"/>
      </w:tabs>
      <w:spacing w:after="0" w:line="240" w:lineRule="auto"/>
    </w:pPr>
    <w:rPr>
      <w:rFonts w:asciiTheme="minorHAnsi" w:hAnsiTheme="minorHAnsi"/>
      <w:szCs w:val="24"/>
    </w:rPr>
  </w:style>
  <w:style w:type="character" w:customStyle="1" w:styleId="FooterChar">
    <w:name w:val="Footer Char"/>
    <w:basedOn w:val="DefaultParagraphFont"/>
    <w:link w:val="Footer"/>
    <w:uiPriority w:val="99"/>
    <w:rsid w:val="00A8562B"/>
    <w:rPr>
      <w:rFonts w:asciiTheme="minorHAnsi" w:hAnsiTheme="minorHAnsi"/>
      <w:szCs w:val="24"/>
    </w:rPr>
  </w:style>
  <w:style w:type="table" w:styleId="LightShading-Accent1">
    <w:name w:val="Light Shading Accent 1"/>
    <w:basedOn w:val="TableNormal"/>
    <w:uiPriority w:val="60"/>
    <w:rsid w:val="00A8562B"/>
    <w:pPr>
      <w:spacing w:after="0" w:line="240" w:lineRule="auto"/>
    </w:pPr>
    <w:rPr>
      <w:rFonts w:asciiTheme="minorHAnsi" w:eastAsiaTheme="minorEastAsia" w:hAnsiTheme="minorHAnsi"/>
      <w:color w:val="527D55" w:themeColor="accent1" w:themeShade="BF"/>
      <w:sz w:val="22"/>
      <w:lang w:eastAsia="zh-TW"/>
    </w:rPr>
    <w:tblPr>
      <w:tblStyleRowBandSize w:val="1"/>
      <w:tblStyleColBandSize w:val="1"/>
      <w:tblInd w:w="0" w:type="dxa"/>
      <w:tblBorders>
        <w:top w:val="single" w:sz="8" w:space="0" w:color="72A376" w:themeColor="accent1"/>
        <w:bottom w:val="single" w:sz="8" w:space="0" w:color="72A37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la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hemeFill="accent1" w:themeFillTint="3F"/>
      </w:tcPr>
    </w:tblStylePr>
    <w:tblStylePr w:type="band1Horz">
      <w:tblPr/>
      <w:tcPr>
        <w:tcBorders>
          <w:left w:val="nil"/>
          <w:right w:val="nil"/>
          <w:insideH w:val="nil"/>
          <w:insideV w:val="nil"/>
        </w:tcBorders>
        <w:shd w:val="clear" w:color="auto" w:fill="DCE8DC" w:themeFill="accent1" w:themeFillTint="3F"/>
      </w:tcPr>
    </w:tblStylePr>
  </w:style>
  <w:style w:type="table" w:customStyle="1" w:styleId="TableGrid1">
    <w:name w:val="Table Grid1"/>
    <w:basedOn w:val="TableNormal"/>
    <w:next w:val="TableGrid"/>
    <w:rsid w:val="00A8562B"/>
    <w:pPr>
      <w:spacing w:after="0" w:line="240" w:lineRule="auto"/>
    </w:pPr>
    <w:rPr>
      <w:rFonts w:asciiTheme="minorHAnsi" w:hAnsiTheme="minorHAnsi"/>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C46CE8"/>
    <w:pPr>
      <w:outlineLvl w:val="9"/>
    </w:pPr>
    <w:rPr>
      <w:rFonts w:asciiTheme="majorHAnsi" w:hAnsiTheme="majorHAnsi"/>
    </w:rPr>
  </w:style>
  <w:style w:type="paragraph" w:styleId="TOC1">
    <w:name w:val="toc 1"/>
    <w:basedOn w:val="Normal"/>
    <w:next w:val="Normal"/>
    <w:autoRedefine/>
    <w:uiPriority w:val="39"/>
    <w:unhideWhenUsed/>
    <w:rsid w:val="00C46CE8"/>
    <w:pPr>
      <w:spacing w:before="120" w:after="0"/>
    </w:pPr>
    <w:rPr>
      <w:rFonts w:asciiTheme="minorHAnsi" w:hAnsiTheme="minorHAnsi"/>
      <w:b/>
      <w:szCs w:val="24"/>
    </w:rPr>
  </w:style>
  <w:style w:type="paragraph" w:styleId="TOC2">
    <w:name w:val="toc 2"/>
    <w:basedOn w:val="Normal"/>
    <w:next w:val="Normal"/>
    <w:autoRedefine/>
    <w:uiPriority w:val="39"/>
    <w:unhideWhenUsed/>
    <w:rsid w:val="00C46CE8"/>
    <w:pPr>
      <w:spacing w:after="0"/>
      <w:ind w:left="240"/>
    </w:pPr>
    <w:rPr>
      <w:rFonts w:asciiTheme="minorHAnsi" w:hAnsiTheme="minorHAnsi"/>
      <w:b/>
      <w:sz w:val="22"/>
    </w:rPr>
  </w:style>
  <w:style w:type="paragraph" w:styleId="TOC3">
    <w:name w:val="toc 3"/>
    <w:basedOn w:val="Normal"/>
    <w:next w:val="Normal"/>
    <w:autoRedefine/>
    <w:uiPriority w:val="39"/>
    <w:unhideWhenUsed/>
    <w:rsid w:val="00C46CE8"/>
    <w:pPr>
      <w:spacing w:after="0"/>
      <w:ind w:left="480"/>
    </w:pPr>
    <w:rPr>
      <w:rFonts w:asciiTheme="minorHAnsi" w:hAnsiTheme="minorHAnsi"/>
      <w:sz w:val="22"/>
    </w:rPr>
  </w:style>
  <w:style w:type="paragraph" w:styleId="TOC4">
    <w:name w:val="toc 4"/>
    <w:basedOn w:val="Normal"/>
    <w:next w:val="Normal"/>
    <w:autoRedefine/>
    <w:uiPriority w:val="39"/>
    <w:semiHidden/>
    <w:unhideWhenUsed/>
    <w:rsid w:val="00C46CE8"/>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C46CE8"/>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C46CE8"/>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C46CE8"/>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C46CE8"/>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C46CE8"/>
    <w:pPr>
      <w:spacing w:after="0"/>
      <w:ind w:left="1920"/>
    </w:pPr>
    <w:rPr>
      <w:rFonts w:asciiTheme="minorHAnsi" w:hAnsiTheme="minorHAnsi"/>
      <w:sz w:val="20"/>
      <w:szCs w:val="20"/>
    </w:rPr>
  </w:style>
  <w:style w:type="character" w:styleId="CommentReference">
    <w:name w:val="annotation reference"/>
    <w:basedOn w:val="DefaultParagraphFont"/>
    <w:unhideWhenUsed/>
    <w:rsid w:val="00B5536D"/>
    <w:rPr>
      <w:sz w:val="18"/>
      <w:szCs w:val="18"/>
    </w:rPr>
  </w:style>
  <w:style w:type="paragraph" w:styleId="Caption">
    <w:name w:val="caption"/>
    <w:basedOn w:val="Normal"/>
    <w:next w:val="Normal"/>
    <w:rsid w:val="00521747"/>
    <w:pPr>
      <w:spacing w:line="240" w:lineRule="auto"/>
    </w:pPr>
    <w:rPr>
      <w:b/>
      <w:bCs/>
      <w:color w:val="72A376"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quickfacts.census.gov/qfd/states/16/16081.html" TargetMode="External"/><Relationship Id="rId26" Type="http://schemas.openxmlformats.org/officeDocument/2006/relationships/hyperlink" Target="http://www.fhamortgagecenter.com/fha-blog/debt-to-income-and-fha/" TargetMode="External"/><Relationship Id="rId39" Type="http://schemas.openxmlformats.org/officeDocument/2006/relationships/hyperlink" Target="http://quickfacts.census.gov/qfd/states/16/16081.html" TargetMode="External"/><Relationship Id="rId21" Type="http://schemas.openxmlformats.org/officeDocument/2006/relationships/hyperlink" Target="http://factfinder2.census.gov/faces/tableservices/jsf/pages/productview.xhtml?pid=DEC_10_DP_DPDP1&amp;prodType=table" TargetMode="External"/><Relationship Id="rId34" Type="http://schemas.openxmlformats.org/officeDocument/2006/relationships/hyperlink" Target="http://factfinder2.census.gov/faces/tableservices/jsf/pages/productview.xhtml?pid=DEC_10_SF1_QTH1&amp;prodType=table" TargetMode="External"/><Relationship Id="rId42" Type="http://schemas.openxmlformats.org/officeDocument/2006/relationships/hyperlink" Target="http://factfinder2.census.gov/faces/tableservices/jsf/pages/productview.xhtml?pid=ACS_10_5YR_DP03&amp;prodType=table" TargetMode="External"/><Relationship Id="rId47" Type="http://schemas.openxmlformats.org/officeDocument/2006/relationships/hyperlink" Target="http://beta.bls.gov/maps/cew/WY?period=2011-Q3&amp;industry=10&amp;geo_id=56039&amp;chartData=3&amp;distribution=Quantiles&amp;pos_color=blue&amp;neg_color=orange&amp;showHideChart=show&amp;ownerType=0" TargetMode="External"/><Relationship Id="rId50" Type="http://schemas.openxmlformats.org/officeDocument/2006/relationships/hyperlink" Target="http://factfinder2.census.gov/faces/tableservices/jsf/pages/productview.xhtml?pid=DEC_10_DP_DPDP1&amp;prodType=table" TargetMode="External"/><Relationship Id="rId55" Type="http://schemas.openxmlformats.org/officeDocument/2006/relationships/hyperlink" Target="http://factfinder2.census.gov/faces/tableservices/jsf/pages/productview.xhtml?pid=ACS_10_5YR_DP04&amp;prodType=table" TargetMode="External"/><Relationship Id="rId63" Type="http://schemas.openxmlformats.org/officeDocument/2006/relationships/hyperlink" Target="http://factfinder2.census.gov/faces/tableservices/jsf/pages/productview.xhtml?pid=ACS_10_5YR_DP04&amp;prodType=table" TargetMode="External"/><Relationship Id="rId68" Type="http://schemas.openxmlformats.org/officeDocument/2006/relationships/hyperlink" Target="http://www.zillow.com/homes/Island-Park-ID_rb/" TargetMode="External"/><Relationship Id="rId76" Type="http://schemas.openxmlformats.org/officeDocument/2006/relationships/hyperlink" Target="http://www.city-data.com/city/St.-Anthony-Idaho.html" TargetMode="External"/><Relationship Id="rId7" Type="http://schemas.openxmlformats.org/officeDocument/2006/relationships/footnotes" Target="footnotes.xml"/><Relationship Id="rId71" Type="http://schemas.openxmlformats.org/officeDocument/2006/relationships/hyperlink" Target="http://zillow.com/homes/driggs-ID_rb/" TargetMode="External"/><Relationship Id="rId2" Type="http://schemas.openxmlformats.org/officeDocument/2006/relationships/customXml" Target="../customXml/item2.xml"/><Relationship Id="rId16" Type="http://schemas.openxmlformats.org/officeDocument/2006/relationships/chart" Target="charts/chart7.xml"/><Relationship Id="rId29" Type="http://schemas.openxmlformats.org/officeDocument/2006/relationships/hyperlink" Target="http://www.usamls.net/snakeriver/default.asp?content=results&amp;menu_id=19719&amp;this_format=1&amp;query_id=121168588&amp;sortby=2" TargetMode="External"/><Relationship Id="rId11" Type="http://schemas.openxmlformats.org/officeDocument/2006/relationships/chart" Target="charts/chart2.xml"/><Relationship Id="rId24" Type="http://schemas.openxmlformats.org/officeDocument/2006/relationships/hyperlink" Target="http://factfinder2.census.gov/faces/tableservices/jsf/pages/productview.xhtml?pid=ACS_10_SF4_DP03&amp;prodType=table" TargetMode="External"/><Relationship Id="rId32" Type="http://schemas.openxmlformats.org/officeDocument/2006/relationships/hyperlink" Target="http://factfinder2.census.gov/faces/tableservices/jsf/pages/productview.xhtml?pid=ACS_10_5YR_DP03&amp;prodType=table" TargetMode="External"/><Relationship Id="rId37" Type="http://schemas.openxmlformats.org/officeDocument/2006/relationships/hyperlink" Target="http://factfinder2.census.gov/faces/tableservices/jsf/pages/productview.xhtml?pid=DEC_10_SF1_QTH1&amp;prodType=table" TargetMode="External"/><Relationship Id="rId40" Type="http://schemas.openxmlformats.org/officeDocument/2006/relationships/hyperlink" Target="http://factfinder2.census.gov/faces/tableservices/jsf/pages/productview.xhtml?pid=DEC_10_SF2_SF2DP1&amp;prodType=table" TargetMode="External"/><Relationship Id="rId45" Type="http://schemas.openxmlformats.org/officeDocument/2006/relationships/hyperlink" Target="http://quickfacts.census.gov/qfd/states/56/56039.html" TargetMode="External"/><Relationship Id="rId53" Type="http://schemas.openxmlformats.org/officeDocument/2006/relationships/hyperlink" Target="http://factfinder2.census.gov/faces/tableservices/jsf/pages/productview.xhtml?pid=ACS_10_3YR_DP03&amp;prodType=table" TargetMode="External"/><Relationship Id="rId58" Type="http://schemas.openxmlformats.org/officeDocument/2006/relationships/hyperlink" Target="http://factfinder2.census.gov/faces/tableservices/jsf/pages/productview.xhtml?pid=DEC_10_DP_DPDP1&amp;prodType=table" TargetMode="External"/><Relationship Id="rId66" Type="http://schemas.openxmlformats.org/officeDocument/2006/relationships/hyperlink" Target="http://www.usamls.net/snakeriver/default.asp?content=results&amp;menu_id=19719&amp;this_format=1&amp;query_id=121164976&amp;sortby=2&amp;page=3" TargetMode="External"/><Relationship Id="rId74" Type="http://schemas.openxmlformats.org/officeDocument/2006/relationships/hyperlink" Target="http://zillow.com/homes/Victor-ID_rb/" TargetMode="External"/><Relationship Id="rId79" Type="http://schemas.openxmlformats.org/officeDocument/2006/relationships/hyperlink" Target="http://www.trulia.com/for_sale/Saint_Anthony,ID/x_map/" TargetMode="External"/><Relationship Id="rId5" Type="http://schemas.openxmlformats.org/officeDocument/2006/relationships/settings" Target="settings.xml"/><Relationship Id="rId61" Type="http://schemas.openxmlformats.org/officeDocument/2006/relationships/hyperlink" Target="http://factfinder2.census.gov/faces/tableservices/jsf/pages/productview.xhtml?pid=ACS_10_1YR_DP04&amp;prodType=table" TargetMode="External"/><Relationship Id="rId82"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www2.byui.edu/IR/stats/studentsf00.htm" TargetMode="External"/><Relationship Id="rId31" Type="http://schemas.openxmlformats.org/officeDocument/2006/relationships/hyperlink" Target="http://factfinder2.census.gov/faces/tableservices/jsf/pages/productview.xhtml?pid=DEC_10_DP_DPDP1&amp;prodType=table" TargetMode="External"/><Relationship Id="rId44" Type="http://schemas.openxmlformats.org/officeDocument/2006/relationships/hyperlink" Target="http://zillow.com/homes/teton-county_rb/" TargetMode="External"/><Relationship Id="rId52" Type="http://schemas.openxmlformats.org/officeDocument/2006/relationships/hyperlink" Target="http://factfinder2.census.gov/faces/tableservices/jsf/pages/productview.xhtml?pid=ACS_10_3YR_DP03&amp;prodType=table" TargetMode="External"/><Relationship Id="rId60" Type="http://schemas.openxmlformats.org/officeDocument/2006/relationships/hyperlink" Target="http://factfinder2.census.gov/faces/tableservices/jsf/pages/productview.xhtml?pid=ACS_10_5YR_DP03&amp;prodType=table" TargetMode="External"/><Relationship Id="rId65" Type="http://schemas.openxmlformats.org/officeDocument/2006/relationships/hyperlink" Target="http://factfinder2.census.gov/faces/tableservices/jsf/pages/productview.xhtml?pid=DEC_10_SF1_QTH1&amp;prodType=table" TargetMode="External"/><Relationship Id="rId73" Type="http://schemas.openxmlformats.org/officeDocument/2006/relationships/hyperlink" Target="http://factfinder2.census.gov/faces/tableservices/jsf/pages/productview.xhtml?pid=ACS_10_5YR_S2506&amp;prodType=table" TargetMode="External"/><Relationship Id="rId78" Type="http://schemas.openxmlformats.org/officeDocument/2006/relationships/hyperlink" Target="http://factfinder2.census.gov/faces/tableservices/jsf/pages/productview.xhtml?pid=ACS_10_5YR_DP04&amp;prodType=table" TargetMode="Externa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hyperlink" Target="http://www2.byui.edu/IR/stats/age_10.htm" TargetMode="External"/><Relationship Id="rId27" Type="http://schemas.openxmlformats.org/officeDocument/2006/relationships/hyperlink" Target="http://factfinder2.census.gov/faces/tableservices/jsf/pages/productview.xhtml?pid=ACS_10_3YR_DP04&amp;prodType=table" TargetMode="External"/><Relationship Id="rId30" Type="http://schemas.openxmlformats.org/officeDocument/2006/relationships/hyperlink" Target="http://quickfacts.census.gov/qfd/states/16/16043.html" TargetMode="External"/><Relationship Id="rId35" Type="http://schemas.openxmlformats.org/officeDocument/2006/relationships/hyperlink" Target="http://factfinder2.census.gov/faces/tableservices/jsf/pages/productview.xhtml?pid=ACS_10_5YR_DP04&amp;prodType=table" TargetMode="External"/><Relationship Id="rId43" Type="http://schemas.openxmlformats.org/officeDocument/2006/relationships/hyperlink" Target="http://factfinder2.census.gov/faces/tableservices/jsf/pages/productview.xhtml?pid=ACS_10_5YR_S2506&amp;prodType=table" TargetMode="External"/><Relationship Id="rId48" Type="http://schemas.openxmlformats.org/officeDocument/2006/relationships/hyperlink" Target="http://factfinder2.census.gov/faces/tableservices/jsf/pages/productview.xhtml?pid=ACS_10_3YR_DP03&amp;prodType=table" TargetMode="External"/><Relationship Id="rId56" Type="http://schemas.openxmlformats.org/officeDocument/2006/relationships/hyperlink" Target="http://www.usamls.net/snakeriver/default.asp?content=results&amp;menu_id=19719&amp;this_format=1&amp;query_id=121168560&amp;sortby=2" TargetMode="External"/><Relationship Id="rId64" Type="http://schemas.openxmlformats.org/officeDocument/2006/relationships/hyperlink" Target="http://factfinder2.census.gov/faces/tableservices/jsf/pages/productview.xhtml?pid=DEC_10_SF1_QTH1&amp;prodType=table" TargetMode="External"/><Relationship Id="rId69" Type="http://schemas.openxmlformats.org/officeDocument/2006/relationships/hyperlink" Target="http://www.usamls.net/snakeriver/default.asp?content=results&amp;menu_id=19719&amp;this_format=1&amp;query_id=121177125&amp;sortby=10&amp;page=12" TargetMode="External"/><Relationship Id="rId77" Type="http://schemas.openxmlformats.org/officeDocument/2006/relationships/hyperlink" Target="http://factfinder2.census.gov/faces/tableservices/jsf/pages/productview.xhtml?pid=ACS_10_5YR_DP03&amp;prodType=table" TargetMode="External"/><Relationship Id="rId8" Type="http://schemas.openxmlformats.org/officeDocument/2006/relationships/endnotes" Target="endnotes.xml"/><Relationship Id="rId51" Type="http://schemas.openxmlformats.org/officeDocument/2006/relationships/hyperlink" Target="http://www.wyomingcda.com/files/TetonDec11.pdf" TargetMode="External"/><Relationship Id="rId72" Type="http://schemas.openxmlformats.org/officeDocument/2006/relationships/hyperlink" Target="http://www.trulia.com/real_estate/Driggs-Idaho/" TargetMode="External"/><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factfinder2.census.gov/faces/tableservices/jsf/pages/productview.xhtml?pid=ACS_10_3YR_DP04&amp;prodType=table" TargetMode="External"/><Relationship Id="rId33" Type="http://schemas.openxmlformats.org/officeDocument/2006/relationships/hyperlink" Target="http://factfinder2.census.gov/faces/tableservices/jsf/pages/productview.xhtml?pid=ACS_10_5YR_DP03&amp;prodType=table" TargetMode="External"/><Relationship Id="rId38" Type="http://schemas.openxmlformats.org/officeDocument/2006/relationships/hyperlink" Target="http://www.zillow.com/homes/fremont-county-ID_rb/" TargetMode="External"/><Relationship Id="rId46" Type="http://schemas.openxmlformats.org/officeDocument/2006/relationships/hyperlink" Target="http://factfinder2.census.gov/faces/tableservices/jsf/pages/productview.xhtml?pid=DEC_10_DP_DPDP1" TargetMode="External"/><Relationship Id="rId59" Type="http://schemas.openxmlformats.org/officeDocument/2006/relationships/hyperlink" Target="http://factfinder2.census.gov/faces/tableservices/jsf/pages/productview.xhtml?pid=ACS_10_5YR_DP03&amp;prodType=table" TargetMode="External"/><Relationship Id="rId67" Type="http://schemas.openxmlformats.org/officeDocument/2006/relationships/hyperlink" Target="http://factfinder2.census.gov/faces/tableservices/jsf/pages/productview.xhtml?pid=DEC_10_DP_DPDP1" TargetMode="External"/><Relationship Id="rId20" Type="http://schemas.openxmlformats.org/officeDocument/2006/relationships/hyperlink" Target="http://www2.byui.edu/IR/stats/studentsf10.htm" TargetMode="External"/><Relationship Id="rId41" Type="http://schemas.openxmlformats.org/officeDocument/2006/relationships/hyperlink" Target="http://factfinder2.census.gov/faces/tableservices/jsf/pages/productview.xhtml?pid=ACS_10_5YR_DP03&amp;prodType=table" TargetMode="External"/><Relationship Id="rId54" Type="http://schemas.openxmlformats.org/officeDocument/2006/relationships/hyperlink" Target="http://www.fhamortgagecenter.com/fha-blog/debt-to-income-and-fha/" TargetMode="External"/><Relationship Id="rId62" Type="http://schemas.openxmlformats.org/officeDocument/2006/relationships/hyperlink" Target="http://factfinder2.census.gov/faces/tableservices/jsf/pages/productview.xhtml?pid=ACS_10_5YR_DP04&amp;prodType=table" TargetMode="External"/><Relationship Id="rId70" Type="http://schemas.openxmlformats.org/officeDocument/2006/relationships/hyperlink" Target="http://factfinder2.census.gov/faces/tableservices/jsf/pages/productview.xhtml?pid=ACS_10_5YR_S2506&amp;prodType=table" TargetMode="External"/><Relationship Id="rId75" Type="http://schemas.openxmlformats.org/officeDocument/2006/relationships/hyperlink" Target="http://www.trulia.com/real_estate/Victor-Idah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factfinder2.census.gov/faces/tableservices/jsf/pages/productview.xhtml?pid=ACS_10_5YR_DP03&amp;prodType=table" TargetMode="External"/><Relationship Id="rId28" Type="http://schemas.openxmlformats.org/officeDocument/2006/relationships/hyperlink" Target="http://factfinder2.census.gov/faces/tableservices/jsf/pages/productview.xhtml?pid=DEC_10_SF1_QTH1&amp;prodType=table" TargetMode="External"/><Relationship Id="rId36" Type="http://schemas.openxmlformats.org/officeDocument/2006/relationships/hyperlink" Target="http://factfinder2.census.gov/faces/tableservices/jsf/pages/productview.xhtml?pid=ACS_10_5YR_DP04&amp;prodType=table" TargetMode="External"/><Relationship Id="rId49" Type="http://schemas.openxmlformats.org/officeDocument/2006/relationships/hyperlink" Target="http://factfinder2.census.gov/faces/tableservices/jsf/pages/productview.xhtml?pid=ACS_10_3YR_DP04&amp;prodType=table" TargetMode="External"/><Relationship Id="rId57" Type="http://schemas.openxmlformats.org/officeDocument/2006/relationships/hyperlink" Target="http://factfinder2.census.gov/faces/tableservices/jsf/pages/productview.xhtml?pid=DEC_10_DP_DPDP1&amp;prodType=table"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zillow.com/homes/fremont-county-ID_rb/" TargetMode="External"/><Relationship Id="rId18" Type="http://schemas.openxmlformats.org/officeDocument/2006/relationships/hyperlink" Target="http://factfinder2.census.gov/faces/tableservices/jsf/pages/productview.xhtml?pid=ACS_10_5YR_S2506&amp;prodType=table" TargetMode="External"/><Relationship Id="rId26" Type="http://schemas.openxmlformats.org/officeDocument/2006/relationships/hyperlink" Target="http://www.wyomingcda.com/files/TetonDec11.pdf" TargetMode="External"/><Relationship Id="rId39" Type="http://schemas.openxmlformats.org/officeDocument/2006/relationships/hyperlink" Target="http://factfinder2.census.gov/faces/tableservices/jsf/pages/productview.xhtml?pid=DEC_10_DP_DPDP1" TargetMode="External"/><Relationship Id="rId21" Type="http://schemas.openxmlformats.org/officeDocument/2006/relationships/hyperlink" Target="http://factfinder2.census.gov/faces/tableservices/jsf/pages/productview.xhtml?pid=DEC_10_DP_DPDP1" TargetMode="External"/><Relationship Id="rId34" Type="http://schemas.openxmlformats.org/officeDocument/2006/relationships/hyperlink" Target="http://factfinder2.census.gov/faces/tableservices/jsf/pages/productview.xhtml?pid=ACS_10_5YR_DP04&amp;prodType=table" TargetMode="External"/><Relationship Id="rId42" Type="http://schemas.openxmlformats.org/officeDocument/2006/relationships/hyperlink" Target="http://factfinder2.census.gov/faces/tableservices/jsf/pages/productview.xhtml?pid=ACS_10_5YR_DP03&amp;prodType=table" TargetMode="External"/><Relationship Id="rId47" Type="http://schemas.openxmlformats.org/officeDocument/2006/relationships/hyperlink" Target="http://www.zillow.com/homes/Island-Park-ID_rb/" TargetMode="External"/><Relationship Id="rId50" Type="http://schemas.openxmlformats.org/officeDocument/2006/relationships/hyperlink" Target="http://factfinder2.census.gov/faces/tableservices/jsf/pages/productview.xhtml?pid=ACS_10_5YR_DP03&amp;prodType=table" TargetMode="External"/><Relationship Id="rId55" Type="http://schemas.openxmlformats.org/officeDocument/2006/relationships/hyperlink" Target="http://www.trulia.com/real_estate/Driggs-Idaho/" TargetMode="External"/><Relationship Id="rId63" Type="http://schemas.openxmlformats.org/officeDocument/2006/relationships/hyperlink" Target="http://www.city-data.com/city/St.-Anthony-Idaho.html" TargetMode="External"/><Relationship Id="rId7" Type="http://schemas.openxmlformats.org/officeDocument/2006/relationships/hyperlink" Target="http://factfinder2.census.gov/faces/tableservices/jsf/pages/productview.xhtml?pid=ACS_10_5YR_DP03&amp;prodType=table" TargetMode="External"/><Relationship Id="rId2" Type="http://schemas.openxmlformats.org/officeDocument/2006/relationships/hyperlink" Target="http://www2.byui.edu/IR/stats/studentsf00.htm" TargetMode="External"/><Relationship Id="rId16" Type="http://schemas.openxmlformats.org/officeDocument/2006/relationships/hyperlink" Target="http://factfinder2.census.gov/faces/tableservices/jsf/pages/productview.xhtml?pid=ACS_10_5YR_DP03&amp;prodType=table" TargetMode="External"/><Relationship Id="rId29" Type="http://schemas.openxmlformats.org/officeDocument/2006/relationships/hyperlink" Target="http://factfinder2.census.gov/faces/tableservices/jsf/pages/productview.xhtml?pid=DEC_10_DP_DPDP1&amp;prodType=table" TargetMode="External"/><Relationship Id="rId1" Type="http://schemas.openxmlformats.org/officeDocument/2006/relationships/hyperlink" Target="http://quickfacts.census.gov/qfd/states/16/16081.html" TargetMode="External"/><Relationship Id="rId6" Type="http://schemas.openxmlformats.org/officeDocument/2006/relationships/hyperlink" Target="http://factfinder2.census.gov/faces/tableservices/jsf/pages/productview.xhtml?pid=DEC_10_DP_DPDP1&amp;prodType=table" TargetMode="External"/><Relationship Id="rId11" Type="http://schemas.openxmlformats.org/officeDocument/2006/relationships/hyperlink" Target="http://factfinder2.census.gov/faces/tableservices/jsf/pages/productview.xhtml?pid=ACS_10_5YR_DP04&amp;prodType=table" TargetMode="External"/><Relationship Id="rId24" Type="http://schemas.openxmlformats.org/officeDocument/2006/relationships/hyperlink" Target="http://factfinder2.census.gov/faces/tableservices/jsf/pages/productview.xhtml?pid=ACS_10_3YR_DP04&amp;prodType=table" TargetMode="External"/><Relationship Id="rId32" Type="http://schemas.openxmlformats.org/officeDocument/2006/relationships/hyperlink" Target="http://factfinder2.census.gov/faces/tableservices/jsf/pages/productview.xhtml?pid=ACS_10_5YR_DP03&amp;prodType=table" TargetMode="External"/><Relationship Id="rId37" Type="http://schemas.openxmlformats.org/officeDocument/2006/relationships/hyperlink" Target="http://factfinder2.census.gov/faces/tableservices/jsf/pages/productview.xhtml?pid=DEC_10_SF1_QTH1&amp;prodType=table" TargetMode="External"/><Relationship Id="rId40" Type="http://schemas.openxmlformats.org/officeDocument/2006/relationships/hyperlink" Target="http://factfinder2.census.gov/faces/tableservices/jsf/pages/productview.xhtml?pid=DEC_10_DP_DPDP1&amp;prodType=table" TargetMode="External"/><Relationship Id="rId45" Type="http://schemas.openxmlformats.org/officeDocument/2006/relationships/hyperlink" Target="http://factfinder2.census.gov/faces/tableservices/jsf/pages/productview.xhtml?pid=ACS_10_5YR_DP04&amp;prodType=table" TargetMode="External"/><Relationship Id="rId53" Type="http://schemas.openxmlformats.org/officeDocument/2006/relationships/hyperlink" Target="http://factfinder2.census.gov/faces/tableservices/jsf/pages/productview.xhtml?pid=ACS_10_5YR_S2506&amp;prodType=table" TargetMode="External"/><Relationship Id="rId58" Type="http://schemas.openxmlformats.org/officeDocument/2006/relationships/hyperlink" Target="http://factfinder2.census.gov/faces/tableservices/jsf/pages/productview.xhtml?pid=ACS_10_5YR_DP03&amp;prodType=table" TargetMode="External"/><Relationship Id="rId66" Type="http://schemas.openxmlformats.org/officeDocument/2006/relationships/hyperlink" Target="http://factfinder2.census.gov/faces/tableservices/jsf/pages/productview.xhtml?pid=ACS_10_5YR_DP04&amp;prodType=table" TargetMode="External"/><Relationship Id="rId5" Type="http://schemas.openxmlformats.org/officeDocument/2006/relationships/hyperlink" Target="http://quickfacts.census.gov/qfd/states/16/16043.html" TargetMode="External"/><Relationship Id="rId15" Type="http://schemas.openxmlformats.org/officeDocument/2006/relationships/hyperlink" Target="http://factfinder2.census.gov/faces/tableservices/jsf/pages/productview.xhtml?pid=DEC_10_SF2_SF2DP1&amp;prodType=table" TargetMode="External"/><Relationship Id="rId23" Type="http://schemas.openxmlformats.org/officeDocument/2006/relationships/hyperlink" Target="http://factfinder2.census.gov/faces/tableservices/jsf/pages/productview.xhtml?pid=ACS_10_3YR_DP03&amp;prodType=table" TargetMode="External"/><Relationship Id="rId28" Type="http://schemas.openxmlformats.org/officeDocument/2006/relationships/hyperlink" Target="http://factfinder2.census.gov/faces/tableservices/jsf/pages/productview.xhtml?pid=ACS_10_3YR_DP03&amp;prodType=table" TargetMode="External"/><Relationship Id="rId36" Type="http://schemas.openxmlformats.org/officeDocument/2006/relationships/hyperlink" Target="http://factfinder2.census.gov/faces/tableservices/jsf/pages/productview.xhtml?pid=DEC_10_SF1_QTH1&amp;prodType=table" TargetMode="External"/><Relationship Id="rId49" Type="http://schemas.openxmlformats.org/officeDocument/2006/relationships/hyperlink" Target="http://factfinder2.census.gov/faces/tableservices/jsf/pages/productview.xhtml?pid=DEC_10_DP_DPDP1&amp;prodType=table" TargetMode="External"/><Relationship Id="rId57" Type="http://schemas.openxmlformats.org/officeDocument/2006/relationships/hyperlink" Target="http://factfinder2.census.gov/faces/tableservices/jsf/pages/productview.xhtml?pid=ACS_10_5YR_DP03&amp;prodType=table" TargetMode="External"/><Relationship Id="rId61" Type="http://schemas.openxmlformats.org/officeDocument/2006/relationships/hyperlink" Target="http://zillow.com/homes/Victor-ID_rb/" TargetMode="External"/><Relationship Id="rId10" Type="http://schemas.openxmlformats.org/officeDocument/2006/relationships/hyperlink" Target="http://factfinder2.census.gov/faces/tableservices/jsf/pages/productview.xhtml?pid=ACS_10_5YR_DP04&amp;prodType=table" TargetMode="External"/><Relationship Id="rId19" Type="http://schemas.openxmlformats.org/officeDocument/2006/relationships/hyperlink" Target="http://zillow.com/homes/teton-county_rb/" TargetMode="External"/><Relationship Id="rId31" Type="http://schemas.openxmlformats.org/officeDocument/2006/relationships/hyperlink" Target="http://factfinder2.census.gov/faces/tableservices/jsf/pages/productview.xhtml?pid=ACS_10_5YR_DP03&amp;prodType=table" TargetMode="External"/><Relationship Id="rId44" Type="http://schemas.openxmlformats.org/officeDocument/2006/relationships/hyperlink" Target="http://factfinder2.census.gov/faces/tableservices/jsf/pages/productview.xhtml?pid=ACS_10_5YR_DP04&amp;prodType=table" TargetMode="External"/><Relationship Id="rId52" Type="http://schemas.openxmlformats.org/officeDocument/2006/relationships/hyperlink" Target="http://factfinder2.census.gov/faces/tableservices/jsf/pages/productview.xhtml?pid=ACS_10_5YR_DP04&amp;prodType=table" TargetMode="External"/><Relationship Id="rId60" Type="http://schemas.openxmlformats.org/officeDocument/2006/relationships/hyperlink" Target="http://factfinder2.census.gov/faces/tableservices/jsf/pages/productview.xhtml?pid=ACS_10_5YR_S2506&amp;prodType=table" TargetMode="External"/><Relationship Id="rId65" Type="http://schemas.openxmlformats.org/officeDocument/2006/relationships/hyperlink" Target="http://factfinder2.census.gov/faces/tableservices/jsf/pages/productview.xhtml?pid=ACS_10_5YR_DP03&amp;prodType=table" TargetMode="External"/><Relationship Id="rId4" Type="http://schemas.openxmlformats.org/officeDocument/2006/relationships/hyperlink" Target="http://factfinder2.census.gov/faces/tableservices/jsf/pages/productview.xhtml?pid=DEC_10_DP_DPDP1&amp;prodType=table" TargetMode="External"/><Relationship Id="rId9" Type="http://schemas.openxmlformats.org/officeDocument/2006/relationships/hyperlink" Target="http://factfinder2.census.gov/faces/tableservices/jsf/pages/productview.xhtml?pid=DEC_10_SF1_QTH1&amp;prodType=table" TargetMode="External"/><Relationship Id="rId14" Type="http://schemas.openxmlformats.org/officeDocument/2006/relationships/hyperlink" Target="http://quickfacts.census.gov/qfd/states/16/16081.html" TargetMode="External"/><Relationship Id="rId22" Type="http://schemas.openxmlformats.org/officeDocument/2006/relationships/hyperlink" Target="http://beta.bls.gov/maps/cew/WY?period=2011-Q3&amp;industry=10&amp;geo_id=56039&amp;chartData=3&amp;distribution=Quantiles&amp;pos_color=blue&amp;neg_color=orange&amp;showHideChart=show&amp;ownerType=0" TargetMode="External"/><Relationship Id="rId27" Type="http://schemas.openxmlformats.org/officeDocument/2006/relationships/hyperlink" Target="http://factfinder2.census.gov/faces/tableservices/jsf/pages/productview.xhtml?pid=ACS_10_3YR_DP03&amp;prodType=table" TargetMode="External"/><Relationship Id="rId30" Type="http://schemas.openxmlformats.org/officeDocument/2006/relationships/hyperlink" Target="http://factfinder2.census.gov/faces/tableservices/jsf/pages/productview.xhtml?pid=DEC_10_DP_DPDP1&amp;prodType=table" TargetMode="External"/><Relationship Id="rId35" Type="http://schemas.openxmlformats.org/officeDocument/2006/relationships/hyperlink" Target="http://factfinder2.census.gov/faces/tableservices/jsf/pages/productview.xhtml?pid=ACS_10_5YR_DP04&amp;prodType=table" TargetMode="External"/><Relationship Id="rId43" Type="http://schemas.openxmlformats.org/officeDocument/2006/relationships/hyperlink" Target="http://factfinder2.census.gov/faces/tableservices/jsf/pages/productview.xhtml?pid=DEC_10_SF1_QTH1&amp;prodType=table" TargetMode="External"/><Relationship Id="rId48" Type="http://schemas.openxmlformats.org/officeDocument/2006/relationships/hyperlink" Target="http://www.usamls.net/snakeriver/default.asp?content=results&amp;menu_id=19719&amp;this_format=1&amp;query_id=121177125&amp;sortby=10&amp;page=12" TargetMode="External"/><Relationship Id="rId56" Type="http://schemas.openxmlformats.org/officeDocument/2006/relationships/hyperlink" Target="http://factfinder2.census.gov/faces/tableservices/jsf/pages/productview.xhtml?pid=DEC_10_DP_DPDP1&amp;prodType=table" TargetMode="External"/><Relationship Id="rId64" Type="http://schemas.openxmlformats.org/officeDocument/2006/relationships/hyperlink" Target="http://factfinder2.census.gov/faces/tableservices/jsf/pages/productview.xhtml?pid=ACS_10_5YR_DP03&amp;prodType=table" TargetMode="External"/><Relationship Id="rId8" Type="http://schemas.openxmlformats.org/officeDocument/2006/relationships/hyperlink" Target="http://factfinder2.census.gov/faces/tableservices/jsf/pages/productview.xhtml?pid=ACS_10_5YR_DP03&amp;prodType=table" TargetMode="External"/><Relationship Id="rId51" Type="http://schemas.openxmlformats.org/officeDocument/2006/relationships/hyperlink" Target="http://factfinder2.census.gov/faces/tableservices/jsf/pages/productview.xhtml?pid=ACS_10_5YR_DP03&amp;prodType=table" TargetMode="External"/><Relationship Id="rId3" Type="http://schemas.openxmlformats.org/officeDocument/2006/relationships/hyperlink" Target="http://www2.byui.edu/IR/stats/studentsf10.htm" TargetMode="External"/><Relationship Id="rId12" Type="http://schemas.openxmlformats.org/officeDocument/2006/relationships/hyperlink" Target="http://factfinder2.census.gov/faces/tableservices/jsf/pages/productview.xhtml?pid=DEC_10_SF1_QTH1&amp;prodType=table" TargetMode="External"/><Relationship Id="rId17" Type="http://schemas.openxmlformats.org/officeDocument/2006/relationships/hyperlink" Target="http://factfinder2.census.gov/faces/tableservices/jsf/pages/productview.xhtml?pid=ACS_10_5YR_DP03&amp;prodType=table" TargetMode="External"/><Relationship Id="rId25" Type="http://schemas.openxmlformats.org/officeDocument/2006/relationships/hyperlink" Target="http://factfinder2.census.gov/faces/tableservices/jsf/pages/productview.xhtml?pid=DEC_10_DP_DPDP1&amp;prodType=table" TargetMode="External"/><Relationship Id="rId33" Type="http://schemas.openxmlformats.org/officeDocument/2006/relationships/hyperlink" Target="http://factfinder2.census.gov/faces/tableservices/jsf/pages/productview.xhtml?pid=ACS_10_1YR_DP04&amp;prodType=table" TargetMode="External"/><Relationship Id="rId38" Type="http://schemas.openxmlformats.org/officeDocument/2006/relationships/hyperlink" Target="http://www.usamls.net/snakeriver/default.asp?content=results&amp;menu_id=19719&amp;this_format=1&amp;query_id=121164976&amp;sortby=2&amp;page=3" TargetMode="External"/><Relationship Id="rId46" Type="http://schemas.openxmlformats.org/officeDocument/2006/relationships/hyperlink" Target="http://factfinder2.census.gov/faces/tableservices/jsf/pages/productview.xhtml?pid=DEC_10_SF1_QTH1&amp;prodType=table" TargetMode="External"/><Relationship Id="rId59" Type="http://schemas.openxmlformats.org/officeDocument/2006/relationships/hyperlink" Target="http://factfinder2.census.gov/faces/tableservices/jsf/pages/productview.xhtml?pid=ACS_10_5YR_S2506&amp;prodType=table" TargetMode="External"/><Relationship Id="rId67" Type="http://schemas.openxmlformats.org/officeDocument/2006/relationships/hyperlink" Target="http://www.trulia.com/for_sale/Saint_Anthony,ID/x_map/" TargetMode="External"/><Relationship Id="rId20" Type="http://schemas.openxmlformats.org/officeDocument/2006/relationships/hyperlink" Target="http://quickfacts.census.gov/qfd/states/56/56039.html" TargetMode="External"/><Relationship Id="rId41" Type="http://schemas.openxmlformats.org/officeDocument/2006/relationships/hyperlink" Target="http://factfinder2.census.gov/faces/tableservices/jsf/pages/productview.xhtml?pid=ACS_10_5YR_DP03&amp;prodType=table" TargetMode="External"/><Relationship Id="rId54" Type="http://schemas.openxmlformats.org/officeDocument/2006/relationships/hyperlink" Target="http://zillow.com/homes/driggs-ID_rb/" TargetMode="External"/><Relationship Id="rId62" Type="http://schemas.openxmlformats.org/officeDocument/2006/relationships/hyperlink" Target="http://www.trulia.com/real_estate/Victor-Idaho/"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rya05001:Desktop:MadisonData%20and%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rya05001:Desktop:MadisonData%20and%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rya05001:Desktop:Madison%20County:MadisonData%20and%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rya05001:Desktop:Madison%20County:MadisonData%20and%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rya05001:Desktop:Graphs:Copy%20of%20Income%20Vs%20Home%20Valu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rya05001:Desktop:Average%20Commute%20Tim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rya05001:Desktop:Graphs:Copy%20of%20Income%20Vs%20Home%20Valu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rya05001:Desktop:Average%20Commute%20Ti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Household</a:t>
            </a:r>
            <a:r>
              <a:rPr lang="en-US" baseline="0"/>
              <a:t> Income </a:t>
            </a:r>
            <a:endParaRPr lang="en-US"/>
          </a:p>
        </c:rich>
      </c:tx>
      <c:layout/>
    </c:title>
    <c:plotArea>
      <c:layout/>
      <c:barChart>
        <c:barDir val="col"/>
        <c:grouping val="clustered"/>
        <c:ser>
          <c:idx val="0"/>
          <c:order val="0"/>
          <c:tx>
            <c:strRef>
              <c:f>Sheet1!$D$10</c:f>
              <c:strCache>
                <c:ptCount val="1"/>
                <c:pt idx="0">
                  <c:v>Households</c:v>
                </c:pt>
              </c:strCache>
            </c:strRef>
          </c:tx>
          <c:spPr>
            <a:solidFill>
              <a:srgbClr val="788633"/>
            </a:solidFill>
          </c:spPr>
          <c:dLbls>
            <c:dLbl>
              <c:idx val="0"/>
              <c:layout>
                <c:manualLayout>
                  <c:x val="-1.8164664900758405E-3"/>
                  <c:y val="8.5845371690743567E-3"/>
                </c:manualLayout>
              </c:layout>
              <c:tx>
                <c:rich>
                  <a:bodyPr/>
                  <a:lstStyle/>
                  <a:p>
                    <a:r>
                      <a:rPr lang="en-US" sz="1200" b="1" i="0">
                        <a:latin typeface="Garamond"/>
                      </a:rPr>
                      <a:t>9.0%</a:t>
                    </a:r>
                  </a:p>
                </c:rich>
              </c:tx>
              <c:showVal val="1"/>
            </c:dLbl>
            <c:dLbl>
              <c:idx val="1"/>
              <c:layout>
                <c:manualLayout>
                  <c:x val="-1.4728400885373207E-3"/>
                  <c:y val="1.2521545043090106E-2"/>
                </c:manualLayout>
              </c:layout>
              <c:tx>
                <c:rich>
                  <a:bodyPr/>
                  <a:lstStyle/>
                  <a:p>
                    <a:r>
                      <a:rPr lang="en-US" sz="1200" b="1" i="0">
                        <a:latin typeface="Garamond"/>
                      </a:rPr>
                      <a:t>28.5%</a:t>
                    </a:r>
                  </a:p>
                </c:rich>
              </c:tx>
              <c:showVal val="1"/>
            </c:dLbl>
            <c:dLbl>
              <c:idx val="2"/>
              <c:layout>
                <c:manualLayout>
                  <c:x val="-7.8613157226314423E-4"/>
                  <c:y val="4.4698989397978827E-3"/>
                </c:manualLayout>
              </c:layout>
              <c:tx>
                <c:rich>
                  <a:bodyPr/>
                  <a:lstStyle/>
                  <a:p>
                    <a:r>
                      <a:rPr lang="en-US" sz="1200" b="1" i="0">
                        <a:latin typeface="Garamond"/>
                      </a:rPr>
                      <a:t>26.53%</a:t>
                    </a:r>
                  </a:p>
                </c:rich>
              </c:tx>
              <c:showVal val="1"/>
            </c:dLbl>
            <c:dLbl>
              <c:idx val="3"/>
              <c:layout>
                <c:manualLayout>
                  <c:x val="-2.7468340650966226E-3"/>
                  <c:y val="8.406906813813661E-3"/>
                </c:manualLayout>
              </c:layout>
              <c:tx>
                <c:rich>
                  <a:bodyPr/>
                  <a:lstStyle/>
                  <a:p>
                    <a:r>
                      <a:rPr lang="en-US" sz="1200" b="1" i="0">
                        <a:latin typeface="Garamond"/>
                      </a:rPr>
                      <a:t>17.53%</a:t>
                    </a:r>
                  </a:p>
                </c:rich>
              </c:tx>
              <c:showVal val="1"/>
            </c:dLbl>
            <c:dLbl>
              <c:idx val="4"/>
              <c:layout>
                <c:manualLayout>
                  <c:x val="-3.4335425813709622E-3"/>
                  <c:y val="8.406906813813661E-3"/>
                </c:manualLayout>
              </c:layout>
              <c:tx>
                <c:rich>
                  <a:bodyPr/>
                  <a:lstStyle/>
                  <a:p>
                    <a:r>
                      <a:rPr lang="en-US" sz="1200" b="1" i="0">
                        <a:latin typeface="Garamond"/>
                      </a:rPr>
                      <a:t>9.67%</a:t>
                    </a:r>
                  </a:p>
                </c:rich>
              </c:tx>
              <c:showVal val="1"/>
            </c:dLbl>
            <c:dLbl>
              <c:idx val="5"/>
              <c:layout>
                <c:manualLayout>
                  <c:x val="0"/>
                  <c:y val="7.8740157480314942E-3"/>
                </c:manualLayout>
              </c:layout>
              <c:tx>
                <c:rich>
                  <a:bodyPr/>
                  <a:lstStyle/>
                  <a:p>
                    <a:r>
                      <a:rPr lang="en-US"/>
                      <a:t>8.77%</a:t>
                    </a:r>
                  </a:p>
                </c:rich>
              </c:tx>
              <c:showVal val="1"/>
            </c:dLbl>
            <c:txPr>
              <a:bodyPr/>
              <a:lstStyle/>
              <a:p>
                <a:pPr>
                  <a:defRPr sz="1200" b="1" i="0">
                    <a:latin typeface="Garamond"/>
                  </a:defRPr>
                </a:pPr>
                <a:endParaRPr lang="en-US"/>
              </a:p>
            </c:txPr>
            <c:showVal val="1"/>
          </c:dLbls>
          <c:cat>
            <c:strRef>
              <c:f>Sheet1!$C$11:$C$16</c:f>
              <c:strCache>
                <c:ptCount val="6"/>
                <c:pt idx="0">
                  <c:v>$0 to $9,999</c:v>
                </c:pt>
                <c:pt idx="1">
                  <c:v>$10,000 to $24,999</c:v>
                </c:pt>
                <c:pt idx="2">
                  <c:v>$25,000 to $49,999</c:v>
                </c:pt>
                <c:pt idx="3">
                  <c:v>$50,000 to $74,999</c:v>
                </c:pt>
                <c:pt idx="4">
                  <c:v>$75,000 to $99,999</c:v>
                </c:pt>
                <c:pt idx="5">
                  <c:v>Above $100,000</c:v>
                </c:pt>
              </c:strCache>
            </c:strRef>
          </c:cat>
          <c:val>
            <c:numRef>
              <c:f>Sheet1!$D$11:$D$16</c:f>
              <c:numCache>
                <c:formatCode>#,##0</c:formatCode>
                <c:ptCount val="6"/>
                <c:pt idx="0">
                  <c:v>890</c:v>
                </c:pt>
                <c:pt idx="1">
                  <c:v>2811</c:v>
                </c:pt>
                <c:pt idx="2">
                  <c:v>2618</c:v>
                </c:pt>
                <c:pt idx="3">
                  <c:v>1730</c:v>
                </c:pt>
                <c:pt idx="4" formatCode="General">
                  <c:v>954</c:v>
                </c:pt>
                <c:pt idx="5" formatCode="General">
                  <c:v>865</c:v>
                </c:pt>
              </c:numCache>
            </c:numRef>
          </c:val>
        </c:ser>
        <c:axId val="55816576"/>
        <c:axId val="55818112"/>
      </c:barChart>
      <c:catAx>
        <c:axId val="55816576"/>
        <c:scaling>
          <c:orientation val="minMax"/>
        </c:scaling>
        <c:axPos val="b"/>
        <c:tickLblPos val="nextTo"/>
        <c:crossAx val="55818112"/>
        <c:crosses val="autoZero"/>
        <c:auto val="1"/>
        <c:lblAlgn val="ctr"/>
        <c:lblOffset val="100"/>
      </c:catAx>
      <c:valAx>
        <c:axId val="55818112"/>
        <c:scaling>
          <c:orientation val="minMax"/>
        </c:scaling>
        <c:axPos val="l"/>
        <c:majorGridlines/>
        <c:numFmt formatCode="#,##0" sourceLinked="1"/>
        <c:tickLblPos val="nextTo"/>
        <c:crossAx val="55816576"/>
        <c:crosses val="autoZero"/>
        <c:crossBetween val="between"/>
      </c:valAx>
    </c:plotArea>
    <c:legend>
      <c:legendPos val="r"/>
      <c:layout/>
    </c:legend>
    <c:plotVisOnly val="1"/>
  </c:chart>
  <c:spPr>
    <a:ln>
      <a:solidFill>
        <a:srgbClr val="788633"/>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Home Value</a:t>
            </a:r>
          </a:p>
        </c:rich>
      </c:tx>
      <c:layout/>
    </c:title>
    <c:plotArea>
      <c:layout/>
      <c:barChart>
        <c:barDir val="col"/>
        <c:grouping val="clustered"/>
        <c:ser>
          <c:idx val="0"/>
          <c:order val="0"/>
          <c:tx>
            <c:strRef>
              <c:f>Sheet1!$D$25</c:f>
              <c:strCache>
                <c:ptCount val="1"/>
                <c:pt idx="0">
                  <c:v>Owner Units</c:v>
                </c:pt>
              </c:strCache>
            </c:strRef>
          </c:tx>
          <c:spPr>
            <a:solidFill>
              <a:srgbClr val="788633"/>
            </a:solidFill>
          </c:spPr>
          <c:dLbls>
            <c:dLbl>
              <c:idx val="0"/>
              <c:layout>
                <c:manualLayout>
                  <c:x val="1.4285714285714303E-3"/>
                  <c:y val="8.1491829650325916E-3"/>
                </c:manualLayout>
              </c:layout>
              <c:tx>
                <c:rich>
                  <a:bodyPr/>
                  <a:lstStyle/>
                  <a:p>
                    <a:r>
                      <a:rPr lang="en-US"/>
                      <a:t>7.7%</a:t>
                    </a:r>
                  </a:p>
                </c:rich>
              </c:tx>
              <c:showVal val="1"/>
            </c:dLbl>
            <c:dLbl>
              <c:idx val="1"/>
              <c:layout>
                <c:manualLayout>
                  <c:x val="1.4285714285714303E-3"/>
                  <c:y val="-6.187734597691421E-3"/>
                </c:manualLayout>
              </c:layout>
              <c:tx>
                <c:rich>
                  <a:bodyPr/>
                  <a:lstStyle/>
                  <a:p>
                    <a:r>
                      <a:rPr lang="en-US"/>
                      <a:t>7.6%</a:t>
                    </a:r>
                  </a:p>
                </c:rich>
              </c:tx>
              <c:showVal val="1"/>
            </c:dLbl>
            <c:dLbl>
              <c:idx val="2"/>
              <c:layout>
                <c:manualLayout>
                  <c:x val="1.4285714285714303E-3"/>
                  <c:y val="4.2381395873902815E-3"/>
                </c:manualLayout>
              </c:layout>
              <c:tx>
                <c:rich>
                  <a:bodyPr/>
                  <a:lstStyle/>
                  <a:p>
                    <a:r>
                      <a:rPr lang="en-US"/>
                      <a:t>18.4%</a:t>
                    </a:r>
                  </a:p>
                </c:rich>
              </c:tx>
              <c:showVal val="1"/>
            </c:dLbl>
            <c:dLbl>
              <c:idx val="3"/>
              <c:layout>
                <c:manualLayout>
                  <c:x val="2.8570303712036529E-3"/>
                  <c:y val="1.2060226342674899E-2"/>
                </c:manualLayout>
              </c:layout>
              <c:tx>
                <c:rich>
                  <a:bodyPr/>
                  <a:lstStyle/>
                  <a:p>
                    <a:r>
                      <a:rPr lang="en-US"/>
                      <a:t>23.8%</a:t>
                    </a:r>
                  </a:p>
                </c:rich>
              </c:tx>
              <c:showVal val="1"/>
            </c:dLbl>
            <c:dLbl>
              <c:idx val="4"/>
              <c:layout>
                <c:manualLayout>
                  <c:x val="0"/>
                  <c:y val="8.1491829650326125E-3"/>
                </c:manualLayout>
              </c:layout>
              <c:tx>
                <c:rich>
                  <a:bodyPr/>
                  <a:lstStyle/>
                  <a:p>
                    <a:r>
                      <a:rPr lang="en-US"/>
                      <a:t>29.4%</a:t>
                    </a:r>
                  </a:p>
                </c:rich>
              </c:tx>
              <c:showVal val="1"/>
            </c:dLbl>
            <c:dLbl>
              <c:idx val="5"/>
              <c:layout>
                <c:manualLayout>
                  <c:x val="1.4285714285714303E-3"/>
                  <c:y val="1.2060226342674802E-2"/>
                </c:manualLayout>
              </c:layout>
              <c:tx>
                <c:rich>
                  <a:bodyPr/>
                  <a:lstStyle/>
                  <a:p>
                    <a:r>
                      <a:rPr lang="en-US"/>
                      <a:t>10.1%</a:t>
                    </a:r>
                  </a:p>
                </c:rich>
              </c:tx>
              <c:showVal val="1"/>
            </c:dLbl>
            <c:dLbl>
              <c:idx val="6"/>
              <c:layout>
                <c:manualLayout>
                  <c:x val="1.0476069455742223E-16"/>
                  <c:y val="7.8220867552847538E-3"/>
                </c:manualLayout>
              </c:layout>
              <c:tx>
                <c:rich>
                  <a:bodyPr/>
                  <a:lstStyle/>
                  <a:p>
                    <a:r>
                      <a:rPr lang="en-US"/>
                      <a:t>2.9%</a:t>
                    </a:r>
                  </a:p>
                </c:rich>
              </c:tx>
              <c:showVal val="1"/>
            </c:dLbl>
            <c:dLbl>
              <c:idx val="7"/>
              <c:layout>
                <c:manualLayout>
                  <c:x val="0"/>
                  <c:y val="-1.3029379392092011E-2"/>
                </c:manualLayout>
              </c:layout>
              <c:tx>
                <c:rich>
                  <a:bodyPr/>
                  <a:lstStyle/>
                  <a:p>
                    <a:r>
                      <a:rPr lang="en-US"/>
                      <a:t>0%</a:t>
                    </a:r>
                  </a:p>
                </c:rich>
              </c:tx>
              <c:showVal val="1"/>
            </c:dLbl>
            <c:spPr>
              <a:noFill/>
            </c:spPr>
            <c:txPr>
              <a:bodyPr/>
              <a:lstStyle/>
              <a:p>
                <a:pPr>
                  <a:defRPr sz="1200" b="1" i="0">
                    <a:latin typeface="Garamond"/>
                  </a:defRPr>
                </a:pPr>
                <a:endParaRPr lang="en-US"/>
              </a:p>
            </c:txPr>
            <c:showVal val="1"/>
          </c:dLbls>
          <c:cat>
            <c:strRef>
              <c:f>Sheet1!$C$26:$C$33</c:f>
              <c:strCache>
                <c:ptCount val="8"/>
                <c:pt idx="0">
                  <c:v>0 to $50,000</c:v>
                </c:pt>
                <c:pt idx="1">
                  <c:v>$50,000 to $99,999</c:v>
                </c:pt>
                <c:pt idx="2">
                  <c:v>$100,000 to $149,999</c:v>
                </c:pt>
                <c:pt idx="3">
                  <c:v>$150,000 to $199,999</c:v>
                </c:pt>
                <c:pt idx="4">
                  <c:v>$200,000 to $299,999</c:v>
                </c:pt>
                <c:pt idx="5">
                  <c:v>$300,000 to $499,999</c:v>
                </c:pt>
                <c:pt idx="6">
                  <c:v>$500,000 to $999,999</c:v>
                </c:pt>
                <c:pt idx="7">
                  <c:v>$1,000,000 or more</c:v>
                </c:pt>
              </c:strCache>
            </c:strRef>
          </c:cat>
          <c:val>
            <c:numRef>
              <c:f>Sheet1!$D$26:$D$33</c:f>
              <c:numCache>
                <c:formatCode>General</c:formatCode>
                <c:ptCount val="8"/>
                <c:pt idx="0">
                  <c:v>399</c:v>
                </c:pt>
                <c:pt idx="1">
                  <c:v>395</c:v>
                </c:pt>
                <c:pt idx="2">
                  <c:v>953</c:v>
                </c:pt>
                <c:pt idx="3" formatCode="#,##0">
                  <c:v>1229</c:v>
                </c:pt>
                <c:pt idx="4" formatCode="#,##0">
                  <c:v>1517</c:v>
                </c:pt>
                <c:pt idx="5">
                  <c:v>524</c:v>
                </c:pt>
                <c:pt idx="6">
                  <c:v>151</c:v>
                </c:pt>
                <c:pt idx="7">
                  <c:v>0</c:v>
                </c:pt>
              </c:numCache>
            </c:numRef>
          </c:val>
        </c:ser>
        <c:axId val="55707520"/>
        <c:axId val="55709056"/>
      </c:barChart>
      <c:catAx>
        <c:axId val="55707520"/>
        <c:scaling>
          <c:orientation val="minMax"/>
        </c:scaling>
        <c:axPos val="b"/>
        <c:tickLblPos val="nextTo"/>
        <c:crossAx val="55709056"/>
        <c:crosses val="autoZero"/>
        <c:auto val="1"/>
        <c:lblAlgn val="ctr"/>
        <c:lblOffset val="100"/>
      </c:catAx>
      <c:valAx>
        <c:axId val="55709056"/>
        <c:scaling>
          <c:orientation val="minMax"/>
        </c:scaling>
        <c:axPos val="l"/>
        <c:majorGridlines/>
        <c:numFmt formatCode="General" sourceLinked="1"/>
        <c:tickLblPos val="nextTo"/>
        <c:crossAx val="55707520"/>
        <c:crosses val="autoZero"/>
        <c:crossBetween val="between"/>
      </c:valAx>
    </c:plotArea>
    <c:legend>
      <c:legendPos val="r"/>
      <c:layout/>
      <c:txPr>
        <a:bodyPr/>
        <a:lstStyle/>
        <a:p>
          <a:pPr>
            <a:defRPr sz="1200" b="1" i="0">
              <a:latin typeface="Garamond"/>
            </a:defRPr>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Household</a:t>
            </a:r>
            <a:r>
              <a:rPr lang="en-US" baseline="0"/>
              <a:t> Income</a:t>
            </a:r>
            <a:endParaRPr lang="en-US"/>
          </a:p>
        </c:rich>
      </c:tx>
      <c:layout/>
    </c:title>
    <c:plotArea>
      <c:layout/>
      <c:barChart>
        <c:barDir val="col"/>
        <c:grouping val="clustered"/>
        <c:ser>
          <c:idx val="0"/>
          <c:order val="0"/>
          <c:tx>
            <c:strRef>
              <c:f>Sheet1!$D$10</c:f>
              <c:strCache>
                <c:ptCount val="1"/>
                <c:pt idx="0">
                  <c:v>Households</c:v>
                </c:pt>
              </c:strCache>
            </c:strRef>
          </c:tx>
          <c:spPr>
            <a:solidFill>
              <a:srgbClr val="656816"/>
            </a:solidFill>
          </c:spPr>
          <c:dLbls>
            <c:dLbl>
              <c:idx val="0"/>
              <c:layout/>
              <c:tx>
                <c:rich>
                  <a:bodyPr/>
                  <a:lstStyle/>
                  <a:p>
                    <a:r>
                      <a:rPr lang="en-US" b="1" i="0">
                        <a:solidFill>
                          <a:srgbClr val="656816"/>
                        </a:solidFill>
                      </a:rPr>
                      <a:t>11.4%</a:t>
                    </a:r>
                  </a:p>
                </c:rich>
              </c:tx>
              <c:showVal val="1"/>
            </c:dLbl>
            <c:dLbl>
              <c:idx val="1"/>
              <c:layout/>
              <c:tx>
                <c:rich>
                  <a:bodyPr/>
                  <a:lstStyle/>
                  <a:p>
                    <a:r>
                      <a:rPr lang="en-US" b="1" i="0">
                        <a:solidFill>
                          <a:srgbClr val="656816"/>
                        </a:solidFill>
                      </a:rPr>
                      <a:t>38.1%</a:t>
                    </a:r>
                  </a:p>
                </c:rich>
              </c:tx>
              <c:showVal val="1"/>
            </c:dLbl>
            <c:dLbl>
              <c:idx val="2"/>
              <c:layout/>
              <c:tx>
                <c:rich>
                  <a:bodyPr/>
                  <a:lstStyle/>
                  <a:p>
                    <a:r>
                      <a:rPr lang="en-US" b="1" i="0">
                        <a:solidFill>
                          <a:srgbClr val="656816"/>
                        </a:solidFill>
                      </a:rPr>
                      <a:t>23.6%</a:t>
                    </a:r>
                  </a:p>
                </c:rich>
              </c:tx>
              <c:showVal val="1"/>
            </c:dLbl>
            <c:dLbl>
              <c:idx val="3"/>
              <c:layout/>
              <c:tx>
                <c:rich>
                  <a:bodyPr/>
                  <a:lstStyle/>
                  <a:p>
                    <a:r>
                      <a:rPr lang="en-US" b="1" i="0">
                        <a:solidFill>
                          <a:srgbClr val="656816"/>
                        </a:solidFill>
                      </a:rPr>
                      <a:t>13.0%</a:t>
                    </a:r>
                  </a:p>
                </c:rich>
              </c:tx>
              <c:showVal val="1"/>
            </c:dLbl>
            <c:dLbl>
              <c:idx val="4"/>
              <c:layout/>
              <c:tx>
                <c:rich>
                  <a:bodyPr/>
                  <a:lstStyle/>
                  <a:p>
                    <a:r>
                      <a:rPr lang="en-US" b="1" i="0">
                        <a:solidFill>
                          <a:srgbClr val="656816"/>
                        </a:solidFill>
                      </a:rPr>
                      <a:t>6.5%</a:t>
                    </a:r>
                  </a:p>
                </c:rich>
              </c:tx>
              <c:showVal val="1"/>
            </c:dLbl>
            <c:dLbl>
              <c:idx val="5"/>
              <c:layout/>
              <c:tx>
                <c:rich>
                  <a:bodyPr/>
                  <a:lstStyle/>
                  <a:p>
                    <a:r>
                      <a:rPr lang="en-US" b="1" i="0">
                        <a:solidFill>
                          <a:srgbClr val="656816"/>
                        </a:solidFill>
                      </a:rPr>
                      <a:t>7.5%</a:t>
                    </a:r>
                  </a:p>
                </c:rich>
              </c:tx>
              <c:showVal val="1"/>
            </c:dLbl>
            <c:txPr>
              <a:bodyPr/>
              <a:lstStyle/>
              <a:p>
                <a:pPr>
                  <a:defRPr b="1" i="0">
                    <a:solidFill>
                      <a:srgbClr val="656816"/>
                    </a:solidFill>
                  </a:defRPr>
                </a:pPr>
                <a:endParaRPr lang="en-US"/>
              </a:p>
            </c:txPr>
            <c:showVal val="1"/>
          </c:dLbls>
          <c:cat>
            <c:strRef>
              <c:f>Sheet1!$C$11:$C$16</c:f>
              <c:strCache>
                <c:ptCount val="6"/>
                <c:pt idx="0">
                  <c:v>$0 to $9,999</c:v>
                </c:pt>
                <c:pt idx="1">
                  <c:v>$10,000 to $24,999</c:v>
                </c:pt>
                <c:pt idx="2">
                  <c:v>$25,000 to $49,999</c:v>
                </c:pt>
                <c:pt idx="3">
                  <c:v>$50,000 to $74,999</c:v>
                </c:pt>
                <c:pt idx="4">
                  <c:v>$75,000 to $99,999</c:v>
                </c:pt>
                <c:pt idx="5">
                  <c:v>Above $100,000</c:v>
                </c:pt>
              </c:strCache>
            </c:strRef>
          </c:cat>
          <c:val>
            <c:numRef>
              <c:f>Sheet1!$D$11:$D$16</c:f>
              <c:numCache>
                <c:formatCode>#,##0</c:formatCode>
                <c:ptCount val="6"/>
                <c:pt idx="0">
                  <c:v>769</c:v>
                </c:pt>
                <c:pt idx="1">
                  <c:v>2568</c:v>
                </c:pt>
                <c:pt idx="2">
                  <c:v>1590</c:v>
                </c:pt>
                <c:pt idx="3">
                  <c:v>878</c:v>
                </c:pt>
                <c:pt idx="4" formatCode="General">
                  <c:v>438</c:v>
                </c:pt>
                <c:pt idx="5" formatCode="General">
                  <c:v>507</c:v>
                </c:pt>
              </c:numCache>
            </c:numRef>
          </c:val>
        </c:ser>
        <c:axId val="55767808"/>
        <c:axId val="55769344"/>
      </c:barChart>
      <c:catAx>
        <c:axId val="55767808"/>
        <c:scaling>
          <c:orientation val="minMax"/>
        </c:scaling>
        <c:axPos val="b"/>
        <c:tickLblPos val="nextTo"/>
        <c:crossAx val="55769344"/>
        <c:crosses val="autoZero"/>
        <c:auto val="1"/>
        <c:lblAlgn val="ctr"/>
        <c:lblOffset val="100"/>
      </c:catAx>
      <c:valAx>
        <c:axId val="55769344"/>
        <c:scaling>
          <c:orientation val="minMax"/>
        </c:scaling>
        <c:axPos val="l"/>
        <c:majorGridlines/>
        <c:numFmt formatCode="#,##0" sourceLinked="1"/>
        <c:tickLblPos val="nextTo"/>
        <c:crossAx val="5576780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Home</a:t>
            </a:r>
            <a:r>
              <a:rPr lang="en-US" baseline="0"/>
              <a:t> Value</a:t>
            </a:r>
            <a:endParaRPr lang="en-US"/>
          </a:p>
        </c:rich>
      </c:tx>
      <c:layout/>
    </c:title>
    <c:plotArea>
      <c:layout/>
      <c:barChart>
        <c:barDir val="col"/>
        <c:grouping val="clustered"/>
        <c:ser>
          <c:idx val="0"/>
          <c:order val="0"/>
          <c:tx>
            <c:strRef>
              <c:f>Sheet1!$D$25</c:f>
              <c:strCache>
                <c:ptCount val="1"/>
                <c:pt idx="0">
                  <c:v>Owner Units</c:v>
                </c:pt>
              </c:strCache>
            </c:strRef>
          </c:tx>
          <c:spPr>
            <a:solidFill>
              <a:srgbClr val="656816"/>
            </a:solidFill>
          </c:spPr>
          <c:dLbls>
            <c:dLbl>
              <c:idx val="0"/>
              <c:layout/>
              <c:tx>
                <c:rich>
                  <a:bodyPr/>
                  <a:lstStyle/>
                  <a:p>
                    <a:r>
                      <a:rPr lang="en-US" b="1" i="0">
                        <a:solidFill>
                          <a:srgbClr val="656816"/>
                        </a:solidFill>
                        <a:latin typeface="Garamond"/>
                      </a:rPr>
                      <a:t>9.7%</a:t>
                    </a:r>
                  </a:p>
                </c:rich>
              </c:tx>
              <c:showVal val="1"/>
            </c:dLbl>
            <c:dLbl>
              <c:idx val="1"/>
              <c:layout/>
              <c:tx>
                <c:rich>
                  <a:bodyPr/>
                  <a:lstStyle/>
                  <a:p>
                    <a:r>
                      <a:rPr lang="en-US" b="1" i="0">
                        <a:solidFill>
                          <a:srgbClr val="656816"/>
                        </a:solidFill>
                        <a:latin typeface="Garamond"/>
                      </a:rPr>
                      <a:t>6.9%</a:t>
                    </a:r>
                  </a:p>
                </c:rich>
              </c:tx>
              <c:showVal val="1"/>
            </c:dLbl>
            <c:dLbl>
              <c:idx val="2"/>
              <c:layout/>
              <c:tx>
                <c:rich>
                  <a:bodyPr/>
                  <a:lstStyle/>
                  <a:p>
                    <a:r>
                      <a:rPr lang="en-US" b="1" i="0">
                        <a:solidFill>
                          <a:srgbClr val="656816"/>
                        </a:solidFill>
                        <a:latin typeface="Garamond"/>
                      </a:rPr>
                      <a:t>20.8%</a:t>
                    </a:r>
                  </a:p>
                </c:rich>
              </c:tx>
              <c:showVal val="1"/>
            </c:dLbl>
            <c:dLbl>
              <c:idx val="3"/>
              <c:layout/>
              <c:tx>
                <c:rich>
                  <a:bodyPr/>
                  <a:lstStyle/>
                  <a:p>
                    <a:r>
                      <a:rPr lang="en-US" b="1" i="0">
                        <a:solidFill>
                          <a:srgbClr val="656816"/>
                        </a:solidFill>
                        <a:latin typeface="Garamond"/>
                      </a:rPr>
                      <a:t>25.7%</a:t>
                    </a:r>
                  </a:p>
                </c:rich>
              </c:tx>
              <c:showVal val="1"/>
            </c:dLbl>
            <c:dLbl>
              <c:idx val="4"/>
              <c:layout/>
              <c:tx>
                <c:rich>
                  <a:bodyPr/>
                  <a:lstStyle/>
                  <a:p>
                    <a:r>
                      <a:rPr lang="en-US" b="1" i="0">
                        <a:solidFill>
                          <a:srgbClr val="656816"/>
                        </a:solidFill>
                        <a:latin typeface="Garamond"/>
                      </a:rPr>
                      <a:t>25.4%</a:t>
                    </a:r>
                  </a:p>
                </c:rich>
              </c:tx>
              <c:showVal val="1"/>
            </c:dLbl>
            <c:dLbl>
              <c:idx val="5"/>
              <c:layout/>
              <c:tx>
                <c:rich>
                  <a:bodyPr/>
                  <a:lstStyle/>
                  <a:p>
                    <a:r>
                      <a:rPr lang="en-US" b="1" i="0">
                        <a:solidFill>
                          <a:srgbClr val="656816"/>
                        </a:solidFill>
                        <a:latin typeface="Garamond"/>
                      </a:rPr>
                      <a:t>9.0%</a:t>
                    </a:r>
                  </a:p>
                </c:rich>
              </c:tx>
              <c:showVal val="1"/>
            </c:dLbl>
            <c:dLbl>
              <c:idx val="6"/>
              <c:layout/>
              <c:tx>
                <c:rich>
                  <a:bodyPr/>
                  <a:lstStyle/>
                  <a:p>
                    <a:r>
                      <a:rPr lang="en-US" b="1" i="0">
                        <a:solidFill>
                          <a:srgbClr val="656816"/>
                        </a:solidFill>
                        <a:latin typeface="Garamond"/>
                      </a:rPr>
                      <a:t>2.0%</a:t>
                    </a:r>
                  </a:p>
                </c:rich>
              </c:tx>
              <c:showVal val="1"/>
            </c:dLbl>
            <c:dLbl>
              <c:idx val="7"/>
              <c:layout/>
              <c:tx>
                <c:rich>
                  <a:bodyPr/>
                  <a:lstStyle/>
                  <a:p>
                    <a:r>
                      <a:rPr lang="en-US" b="1" i="0">
                        <a:solidFill>
                          <a:srgbClr val="656816"/>
                        </a:solidFill>
                        <a:latin typeface="Garamond"/>
                      </a:rPr>
                      <a:t>0.5%</a:t>
                    </a:r>
                  </a:p>
                </c:rich>
              </c:tx>
              <c:showVal val="1"/>
            </c:dLbl>
            <c:txPr>
              <a:bodyPr/>
              <a:lstStyle/>
              <a:p>
                <a:pPr>
                  <a:defRPr b="1" i="0">
                    <a:solidFill>
                      <a:srgbClr val="656816"/>
                    </a:solidFill>
                    <a:latin typeface="Garamond"/>
                  </a:defRPr>
                </a:pPr>
                <a:endParaRPr lang="en-US"/>
              </a:p>
            </c:txPr>
            <c:showVal val="1"/>
          </c:dLbls>
          <c:cat>
            <c:strRef>
              <c:f>Sheet1!$C$26:$C$33</c:f>
              <c:strCache>
                <c:ptCount val="8"/>
                <c:pt idx="0">
                  <c:v>0 to $50,000</c:v>
                </c:pt>
                <c:pt idx="1">
                  <c:v>$50,000 to $99,999</c:v>
                </c:pt>
                <c:pt idx="2">
                  <c:v>$100,000 to $149,999</c:v>
                </c:pt>
                <c:pt idx="3">
                  <c:v>$150,000 to $199,999</c:v>
                </c:pt>
                <c:pt idx="4">
                  <c:v>$200,000 to $299,999</c:v>
                </c:pt>
                <c:pt idx="5">
                  <c:v>$300,000 to $499,999</c:v>
                </c:pt>
                <c:pt idx="6">
                  <c:v>$500,000 to $999,999</c:v>
                </c:pt>
                <c:pt idx="7">
                  <c:v>$1,000,000 or more</c:v>
                </c:pt>
              </c:strCache>
            </c:strRef>
          </c:cat>
          <c:val>
            <c:numRef>
              <c:f>Sheet1!$D$26:$D$33</c:f>
              <c:numCache>
                <c:formatCode>General</c:formatCode>
                <c:ptCount val="8"/>
                <c:pt idx="0">
                  <c:v>220</c:v>
                </c:pt>
                <c:pt idx="1">
                  <c:v>156</c:v>
                </c:pt>
                <c:pt idx="2">
                  <c:v>473</c:v>
                </c:pt>
                <c:pt idx="3" formatCode="#,##0">
                  <c:v>585</c:v>
                </c:pt>
                <c:pt idx="4" formatCode="#,##0">
                  <c:v>577</c:v>
                </c:pt>
                <c:pt idx="5">
                  <c:v>204</c:v>
                </c:pt>
                <c:pt idx="6">
                  <c:v>46</c:v>
                </c:pt>
                <c:pt idx="7">
                  <c:v>12</c:v>
                </c:pt>
              </c:numCache>
            </c:numRef>
          </c:val>
        </c:ser>
        <c:axId val="55933568"/>
        <c:axId val="54661504"/>
      </c:barChart>
      <c:catAx>
        <c:axId val="55933568"/>
        <c:scaling>
          <c:orientation val="minMax"/>
        </c:scaling>
        <c:axPos val="b"/>
        <c:tickLblPos val="nextTo"/>
        <c:crossAx val="54661504"/>
        <c:crosses val="autoZero"/>
        <c:auto val="1"/>
        <c:lblAlgn val="ctr"/>
        <c:lblOffset val="100"/>
      </c:catAx>
      <c:valAx>
        <c:axId val="54661504"/>
        <c:scaling>
          <c:orientation val="minMax"/>
        </c:scaling>
        <c:axPos val="l"/>
        <c:majorGridlines/>
        <c:numFmt formatCode="General" sourceLinked="1"/>
        <c:tickLblPos val="nextTo"/>
        <c:crossAx val="55933568"/>
        <c:crosses val="autoZero"/>
        <c:crossBetween val="between"/>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barChart>
        <c:barDir val="col"/>
        <c:grouping val="clustered"/>
        <c:ser>
          <c:idx val="0"/>
          <c:order val="0"/>
          <c:tx>
            <c:strRef>
              <c:f>'[Copy of Income Vs Home Value.xlsx]Sheet1'!$B$16</c:f>
              <c:strCache>
                <c:ptCount val="1"/>
                <c:pt idx="0">
                  <c:v>Monthly Income</c:v>
                </c:pt>
              </c:strCache>
            </c:strRef>
          </c:tx>
          <c:spPr>
            <a:solidFill>
              <a:srgbClr val="656816"/>
            </a:solidFill>
          </c:spPr>
          <c:cat>
            <c:strRef>
              <c:f>'[Copy of Income Vs Home Value.xlsx]Sheet1'!$C$15:$G$15</c:f>
              <c:strCache>
                <c:ptCount val="5"/>
                <c:pt idx="0">
                  <c:v>Fremont County </c:v>
                </c:pt>
                <c:pt idx="1">
                  <c:v>Madison County</c:v>
                </c:pt>
                <c:pt idx="2">
                  <c:v>Teton Idaho</c:v>
                </c:pt>
                <c:pt idx="3">
                  <c:v>Teton Wyoming</c:v>
                </c:pt>
                <c:pt idx="4">
                  <c:v>United States</c:v>
                </c:pt>
              </c:strCache>
            </c:strRef>
          </c:cat>
          <c:val>
            <c:numRef>
              <c:f>'[Copy of Income Vs Home Value.xlsx]Sheet1'!$C$16:$G$16</c:f>
              <c:numCache>
                <c:formatCode>_("$"* #,##0.00_);_("$"* \(#,##0.00\);_("$"* "-"??_);_(@_)</c:formatCode>
                <c:ptCount val="5"/>
                <c:pt idx="0">
                  <c:v>3543.5833333333358</c:v>
                </c:pt>
                <c:pt idx="1">
                  <c:v>2955.0833333333358</c:v>
                </c:pt>
                <c:pt idx="2">
                  <c:v>4447</c:v>
                </c:pt>
                <c:pt idx="3">
                  <c:v>5519.75</c:v>
                </c:pt>
                <c:pt idx="4">
                  <c:v>4170.5</c:v>
                </c:pt>
              </c:numCache>
            </c:numRef>
          </c:val>
        </c:ser>
        <c:ser>
          <c:idx val="1"/>
          <c:order val="1"/>
          <c:tx>
            <c:strRef>
              <c:f>'[Copy of Income Vs Home Value.xlsx]Sheet1'!$B$17</c:f>
              <c:strCache>
                <c:ptCount val="1"/>
                <c:pt idx="0">
                  <c:v>30% of income</c:v>
                </c:pt>
              </c:strCache>
            </c:strRef>
          </c:tx>
          <c:spPr>
            <a:solidFill>
              <a:schemeClr val="tx1"/>
            </a:solidFill>
          </c:spPr>
          <c:cat>
            <c:strRef>
              <c:f>'[Copy of Income Vs Home Value.xlsx]Sheet1'!$C$15:$G$15</c:f>
              <c:strCache>
                <c:ptCount val="5"/>
                <c:pt idx="0">
                  <c:v>Fremont County </c:v>
                </c:pt>
                <c:pt idx="1">
                  <c:v>Madison County</c:v>
                </c:pt>
                <c:pt idx="2">
                  <c:v>Teton Idaho</c:v>
                </c:pt>
                <c:pt idx="3">
                  <c:v>Teton Wyoming</c:v>
                </c:pt>
                <c:pt idx="4">
                  <c:v>United States</c:v>
                </c:pt>
              </c:strCache>
            </c:strRef>
          </c:cat>
          <c:val>
            <c:numRef>
              <c:f>'[Copy of Income Vs Home Value.xlsx]Sheet1'!$C$17:$G$17</c:f>
              <c:numCache>
                <c:formatCode>_("$"* #,##0.00_);_("$"* \(#,##0.00\);_("$"* "-"??_);_(@_)</c:formatCode>
                <c:ptCount val="5"/>
                <c:pt idx="0">
                  <c:v>1063.075</c:v>
                </c:pt>
                <c:pt idx="1">
                  <c:v>886.52499999999998</c:v>
                </c:pt>
                <c:pt idx="2">
                  <c:v>1334.1</c:v>
                </c:pt>
                <c:pt idx="3">
                  <c:v>1655.9250000000006</c:v>
                </c:pt>
                <c:pt idx="4">
                  <c:v>1251.1499999999999</c:v>
                </c:pt>
              </c:numCache>
            </c:numRef>
          </c:val>
        </c:ser>
        <c:ser>
          <c:idx val="2"/>
          <c:order val="2"/>
          <c:tx>
            <c:strRef>
              <c:f>'[Copy of Income Vs Home Value.xlsx]Sheet1'!$B$18</c:f>
              <c:strCache>
                <c:ptCount val="1"/>
                <c:pt idx="0">
                  <c:v>Monthly House Payment</c:v>
                </c:pt>
              </c:strCache>
            </c:strRef>
          </c:tx>
          <c:spPr>
            <a:solidFill>
              <a:schemeClr val="tx2">
                <a:lumMod val="60000"/>
                <a:lumOff val="40000"/>
              </a:schemeClr>
            </a:solidFill>
          </c:spPr>
          <c:cat>
            <c:strRef>
              <c:f>'[Copy of Income Vs Home Value.xlsx]Sheet1'!$C$15:$G$15</c:f>
              <c:strCache>
                <c:ptCount val="5"/>
                <c:pt idx="0">
                  <c:v>Fremont County </c:v>
                </c:pt>
                <c:pt idx="1">
                  <c:v>Madison County</c:v>
                </c:pt>
                <c:pt idx="2">
                  <c:v>Teton Idaho</c:v>
                </c:pt>
                <c:pt idx="3">
                  <c:v>Teton Wyoming</c:v>
                </c:pt>
                <c:pt idx="4">
                  <c:v>United States</c:v>
                </c:pt>
              </c:strCache>
            </c:strRef>
          </c:cat>
          <c:val>
            <c:numRef>
              <c:f>'[Copy of Income Vs Home Value.xlsx]Sheet1'!$C$18:$G$18</c:f>
              <c:numCache>
                <c:formatCode>_("$"* #,##0.00_);_("$"* \(#,##0.00\);_("$"* "-"??_);_(@_)</c:formatCode>
                <c:ptCount val="5"/>
                <c:pt idx="0">
                  <c:v>570.92999999999938</c:v>
                </c:pt>
                <c:pt idx="1">
                  <c:v>806.24</c:v>
                </c:pt>
                <c:pt idx="2">
                  <c:v>1484.33</c:v>
                </c:pt>
                <c:pt idx="3">
                  <c:v>3233.61</c:v>
                </c:pt>
                <c:pt idx="4">
                  <c:v>855.03</c:v>
                </c:pt>
              </c:numCache>
            </c:numRef>
          </c:val>
        </c:ser>
        <c:axId val="54682752"/>
        <c:axId val="54684288"/>
      </c:barChart>
      <c:catAx>
        <c:axId val="54682752"/>
        <c:scaling>
          <c:orientation val="minMax"/>
        </c:scaling>
        <c:axPos val="b"/>
        <c:tickLblPos val="nextTo"/>
        <c:txPr>
          <a:bodyPr/>
          <a:lstStyle/>
          <a:p>
            <a:pPr>
              <a:defRPr sz="1200">
                <a:latin typeface="Garamond"/>
              </a:defRPr>
            </a:pPr>
            <a:endParaRPr lang="en-US"/>
          </a:p>
        </c:txPr>
        <c:crossAx val="54684288"/>
        <c:crosses val="autoZero"/>
        <c:auto val="1"/>
        <c:lblAlgn val="ctr"/>
        <c:lblOffset val="100"/>
      </c:catAx>
      <c:valAx>
        <c:axId val="54684288"/>
        <c:scaling>
          <c:orientation val="minMax"/>
        </c:scaling>
        <c:axPos val="l"/>
        <c:majorGridlines/>
        <c:numFmt formatCode="_(&quot;$&quot;* #,##0.00_);_(&quot;$&quot;* \(#,##0.00\);_(&quot;$&quot;* &quot;-&quot;??_);_(@_)" sourceLinked="1"/>
        <c:tickLblPos val="nextTo"/>
        <c:crossAx val="54682752"/>
        <c:crosses val="autoZero"/>
        <c:crossBetween val="between"/>
      </c:valAx>
    </c:plotArea>
    <c:legend>
      <c:legendPos val="r"/>
      <c:layout/>
      <c:txPr>
        <a:bodyPr/>
        <a:lstStyle/>
        <a:p>
          <a:pPr>
            <a:defRPr sz="1200">
              <a:latin typeface="Garamond"/>
            </a:defRPr>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County Average Commute Time</a:t>
            </a:r>
          </a:p>
        </c:rich>
      </c:tx>
      <c:layout/>
    </c:title>
    <c:plotArea>
      <c:layout/>
      <c:barChart>
        <c:barDir val="col"/>
        <c:grouping val="clustered"/>
        <c:ser>
          <c:idx val="0"/>
          <c:order val="0"/>
          <c:tx>
            <c:strRef>
              <c:f>'[Average Commute Time.xlsx]Sheet1'!$A$7</c:f>
              <c:strCache>
                <c:ptCount val="1"/>
                <c:pt idx="0">
                  <c:v>Minutes</c:v>
                </c:pt>
              </c:strCache>
            </c:strRef>
          </c:tx>
          <c:spPr>
            <a:solidFill>
              <a:srgbClr val="656816"/>
            </a:solidFill>
          </c:spPr>
          <c:cat>
            <c:strRef>
              <c:f>'[Average Commute Time.xlsx]Sheet1'!$B$6:$E$6</c:f>
              <c:strCache>
                <c:ptCount val="4"/>
                <c:pt idx="0">
                  <c:v>Fremont </c:v>
                </c:pt>
                <c:pt idx="1">
                  <c:v>Madison </c:v>
                </c:pt>
                <c:pt idx="2">
                  <c:v>Teton (Idaho)</c:v>
                </c:pt>
                <c:pt idx="3">
                  <c:v>Teton (Wyoming)</c:v>
                </c:pt>
              </c:strCache>
            </c:strRef>
          </c:cat>
          <c:val>
            <c:numRef>
              <c:f>'[Average Commute Time.xlsx]Sheet1'!$B$7:$E$7</c:f>
              <c:numCache>
                <c:formatCode>General</c:formatCode>
                <c:ptCount val="4"/>
                <c:pt idx="0">
                  <c:v>21</c:v>
                </c:pt>
                <c:pt idx="1">
                  <c:v>15.2</c:v>
                </c:pt>
                <c:pt idx="2">
                  <c:v>24.6</c:v>
                </c:pt>
                <c:pt idx="3">
                  <c:v>14.9</c:v>
                </c:pt>
              </c:numCache>
            </c:numRef>
          </c:val>
        </c:ser>
        <c:axId val="54797056"/>
        <c:axId val="54798592"/>
      </c:barChart>
      <c:catAx>
        <c:axId val="54797056"/>
        <c:scaling>
          <c:orientation val="minMax"/>
        </c:scaling>
        <c:axPos val="b"/>
        <c:tickLblPos val="nextTo"/>
        <c:crossAx val="54798592"/>
        <c:crosses val="autoZero"/>
        <c:auto val="1"/>
        <c:lblAlgn val="ctr"/>
        <c:lblOffset val="100"/>
      </c:catAx>
      <c:valAx>
        <c:axId val="54798592"/>
        <c:scaling>
          <c:orientation val="minMax"/>
        </c:scaling>
        <c:axPos val="l"/>
        <c:majorGridlines/>
        <c:numFmt formatCode="General" sourceLinked="1"/>
        <c:tickLblPos val="nextTo"/>
        <c:crossAx val="54797056"/>
        <c:crosses val="autoZero"/>
        <c:crossBetween val="between"/>
      </c:valAx>
    </c:plotArea>
    <c:legend>
      <c:legendPos val="r"/>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8"/>
  <c:chart>
    <c:plotArea>
      <c:layout/>
      <c:barChart>
        <c:barDir val="col"/>
        <c:grouping val="clustered"/>
        <c:ser>
          <c:idx val="0"/>
          <c:order val="0"/>
          <c:tx>
            <c:strRef>
              <c:f>'[Copy of Income Vs Home Value.xlsx]Sheet1'!$H$16</c:f>
              <c:strCache>
                <c:ptCount val="1"/>
                <c:pt idx="0">
                  <c:v>Monthly Income</c:v>
                </c:pt>
              </c:strCache>
            </c:strRef>
          </c:tx>
          <c:spPr>
            <a:solidFill>
              <a:srgbClr val="656816"/>
            </a:solidFill>
          </c:spPr>
          <c:cat>
            <c:strRef>
              <c:f>'[Copy of Income Vs Home Value.xlsx]Sheet1'!$I$15:$O$15</c:f>
              <c:strCache>
                <c:ptCount val="7"/>
                <c:pt idx="0">
                  <c:v>United States</c:v>
                </c:pt>
                <c:pt idx="1">
                  <c:v>Rexburg</c:v>
                </c:pt>
                <c:pt idx="2">
                  <c:v>St. Anthony</c:v>
                </c:pt>
                <c:pt idx="3">
                  <c:v>Ashton</c:v>
                </c:pt>
                <c:pt idx="4">
                  <c:v>Island park</c:v>
                </c:pt>
                <c:pt idx="5">
                  <c:v>Driggs</c:v>
                </c:pt>
                <c:pt idx="6">
                  <c:v>Victor</c:v>
                </c:pt>
              </c:strCache>
            </c:strRef>
          </c:cat>
          <c:val>
            <c:numRef>
              <c:f>'[Copy of Income Vs Home Value.xlsx]Sheet1'!$I$16:$O$16</c:f>
              <c:numCache>
                <c:formatCode>_("$"* #,##0.00_);_("$"* \(#,##0.00\);_("$"* "-"??_);_(@_)</c:formatCode>
                <c:ptCount val="7"/>
                <c:pt idx="0">
                  <c:v>4170.5</c:v>
                </c:pt>
                <c:pt idx="1">
                  <c:v>2298.75</c:v>
                </c:pt>
                <c:pt idx="2">
                  <c:v>3199.5833333333358</c:v>
                </c:pt>
                <c:pt idx="3">
                  <c:v>3195.5833333333358</c:v>
                </c:pt>
                <c:pt idx="4">
                  <c:v>2312.5</c:v>
                </c:pt>
                <c:pt idx="5">
                  <c:v>3491.1666666666629</c:v>
                </c:pt>
                <c:pt idx="6">
                  <c:v>4599.0833333333285</c:v>
                </c:pt>
              </c:numCache>
            </c:numRef>
          </c:val>
        </c:ser>
        <c:ser>
          <c:idx val="1"/>
          <c:order val="1"/>
          <c:tx>
            <c:strRef>
              <c:f>'[Copy of Income Vs Home Value.xlsx]Sheet1'!$H$17</c:f>
              <c:strCache>
                <c:ptCount val="1"/>
                <c:pt idx="0">
                  <c:v>30% of Income</c:v>
                </c:pt>
              </c:strCache>
            </c:strRef>
          </c:tx>
          <c:spPr>
            <a:solidFill>
              <a:schemeClr val="tx1">
                <a:lumMod val="95000"/>
                <a:lumOff val="5000"/>
              </a:schemeClr>
            </a:solidFill>
          </c:spPr>
          <c:cat>
            <c:strRef>
              <c:f>'[Copy of Income Vs Home Value.xlsx]Sheet1'!$I$15:$O$15</c:f>
              <c:strCache>
                <c:ptCount val="7"/>
                <c:pt idx="0">
                  <c:v>United States</c:v>
                </c:pt>
                <c:pt idx="1">
                  <c:v>Rexburg</c:v>
                </c:pt>
                <c:pt idx="2">
                  <c:v>St. Anthony</c:v>
                </c:pt>
                <c:pt idx="3">
                  <c:v>Ashton</c:v>
                </c:pt>
                <c:pt idx="4">
                  <c:v>Island park</c:v>
                </c:pt>
                <c:pt idx="5">
                  <c:v>Driggs</c:v>
                </c:pt>
                <c:pt idx="6">
                  <c:v>Victor</c:v>
                </c:pt>
              </c:strCache>
            </c:strRef>
          </c:cat>
          <c:val>
            <c:numRef>
              <c:f>'[Copy of Income Vs Home Value.xlsx]Sheet1'!$I$17:$O$17</c:f>
              <c:numCache>
                <c:formatCode>_("$"* #,##0.00_);_("$"* \(#,##0.00\);_("$"* "-"??_);_(@_)</c:formatCode>
                <c:ptCount val="7"/>
                <c:pt idx="0">
                  <c:v>1251.1499999999999</c:v>
                </c:pt>
                <c:pt idx="1">
                  <c:v>689.625</c:v>
                </c:pt>
                <c:pt idx="2">
                  <c:v>959.875</c:v>
                </c:pt>
                <c:pt idx="3">
                  <c:v>958.6750000000003</c:v>
                </c:pt>
                <c:pt idx="4">
                  <c:v>693.75</c:v>
                </c:pt>
                <c:pt idx="5">
                  <c:v>1047.3499999999999</c:v>
                </c:pt>
                <c:pt idx="6">
                  <c:v>1379.7250000000001</c:v>
                </c:pt>
              </c:numCache>
            </c:numRef>
          </c:val>
        </c:ser>
        <c:ser>
          <c:idx val="2"/>
          <c:order val="2"/>
          <c:tx>
            <c:strRef>
              <c:f>'[Copy of Income Vs Home Value.xlsx]Sheet1'!$H$18</c:f>
              <c:strCache>
                <c:ptCount val="1"/>
                <c:pt idx="0">
                  <c:v>Monthly House Payment</c:v>
                </c:pt>
              </c:strCache>
            </c:strRef>
          </c:tx>
          <c:spPr>
            <a:solidFill>
              <a:schemeClr val="tx2">
                <a:lumMod val="60000"/>
                <a:lumOff val="40000"/>
              </a:schemeClr>
            </a:solidFill>
          </c:spPr>
          <c:cat>
            <c:strRef>
              <c:f>'[Copy of Income Vs Home Value.xlsx]Sheet1'!$I$15:$O$15</c:f>
              <c:strCache>
                <c:ptCount val="7"/>
                <c:pt idx="0">
                  <c:v>United States</c:v>
                </c:pt>
                <c:pt idx="1">
                  <c:v>Rexburg</c:v>
                </c:pt>
                <c:pt idx="2">
                  <c:v>St. Anthony</c:v>
                </c:pt>
                <c:pt idx="3">
                  <c:v>Ashton</c:v>
                </c:pt>
                <c:pt idx="4">
                  <c:v>Island park</c:v>
                </c:pt>
                <c:pt idx="5">
                  <c:v>Driggs</c:v>
                </c:pt>
                <c:pt idx="6">
                  <c:v>Victor</c:v>
                </c:pt>
              </c:strCache>
            </c:strRef>
          </c:cat>
          <c:val>
            <c:numRef>
              <c:f>'[Copy of Income Vs Home Value.xlsx]Sheet1'!$I$18:$O$18</c:f>
              <c:numCache>
                <c:formatCode>_("$"* #,##0.00_);_("$"* \(#,##0.00\);_("$"* "-"??_);_(@_)</c:formatCode>
                <c:ptCount val="7"/>
                <c:pt idx="0">
                  <c:v>855.03</c:v>
                </c:pt>
                <c:pt idx="1">
                  <c:v>779.7900000000003</c:v>
                </c:pt>
                <c:pt idx="2">
                  <c:v>392.17</c:v>
                </c:pt>
                <c:pt idx="3">
                  <c:v>462.86</c:v>
                </c:pt>
                <c:pt idx="4">
                  <c:v>876.01</c:v>
                </c:pt>
                <c:pt idx="5">
                  <c:v>1108.1199999999999</c:v>
                </c:pt>
                <c:pt idx="6">
                  <c:v>1203.8799999999999</c:v>
                </c:pt>
              </c:numCache>
            </c:numRef>
          </c:val>
        </c:ser>
        <c:axId val="54838016"/>
        <c:axId val="54839552"/>
      </c:barChart>
      <c:catAx>
        <c:axId val="54838016"/>
        <c:scaling>
          <c:orientation val="minMax"/>
        </c:scaling>
        <c:axPos val="b"/>
        <c:tickLblPos val="nextTo"/>
        <c:txPr>
          <a:bodyPr/>
          <a:lstStyle/>
          <a:p>
            <a:pPr>
              <a:defRPr sz="1200">
                <a:latin typeface="Garamond"/>
              </a:defRPr>
            </a:pPr>
            <a:endParaRPr lang="en-US"/>
          </a:p>
        </c:txPr>
        <c:crossAx val="54839552"/>
        <c:crosses val="autoZero"/>
        <c:auto val="1"/>
        <c:lblAlgn val="ctr"/>
        <c:lblOffset val="100"/>
      </c:catAx>
      <c:valAx>
        <c:axId val="54839552"/>
        <c:scaling>
          <c:orientation val="minMax"/>
        </c:scaling>
        <c:axPos val="l"/>
        <c:majorGridlines/>
        <c:numFmt formatCode="_(&quot;$&quot;* #,##0.00_);_(&quot;$&quot;* \(#,##0.00\);_(&quot;$&quot;* &quot;-&quot;??_);_(@_)" sourceLinked="1"/>
        <c:tickLblPos val="nextTo"/>
        <c:crossAx val="54838016"/>
        <c:crosses val="autoZero"/>
        <c:crossBetween val="between"/>
      </c:valAx>
    </c:plotArea>
    <c:legend>
      <c:legendPos val="r"/>
      <c:layout/>
      <c:txPr>
        <a:bodyPr/>
        <a:lstStyle/>
        <a:p>
          <a:pPr>
            <a:defRPr sz="1200">
              <a:latin typeface="Garamond"/>
            </a:defRPr>
          </a:pPr>
          <a:endParaRPr lang="en-US"/>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City Average</a:t>
            </a:r>
            <a:r>
              <a:rPr lang="en-US" baseline="0"/>
              <a:t> Commute Time</a:t>
            </a:r>
            <a:endParaRPr lang="en-US"/>
          </a:p>
        </c:rich>
      </c:tx>
      <c:layout/>
    </c:title>
    <c:plotArea>
      <c:layout/>
      <c:barChart>
        <c:barDir val="col"/>
        <c:grouping val="clustered"/>
        <c:ser>
          <c:idx val="0"/>
          <c:order val="0"/>
          <c:tx>
            <c:strRef>
              <c:f>'[Average Commute Time.xlsx]Sheet1'!$A$3</c:f>
              <c:strCache>
                <c:ptCount val="1"/>
                <c:pt idx="0">
                  <c:v>Minutes</c:v>
                </c:pt>
              </c:strCache>
            </c:strRef>
          </c:tx>
          <c:spPr>
            <a:solidFill>
              <a:srgbClr val="656816"/>
            </a:solidFill>
          </c:spPr>
          <c:cat>
            <c:strRef>
              <c:f>'[Average Commute Time.xlsx]Sheet1'!$B$2:$G$2</c:f>
              <c:strCache>
                <c:ptCount val="6"/>
                <c:pt idx="0">
                  <c:v>Ashton</c:v>
                </c:pt>
                <c:pt idx="1">
                  <c:v>Driggs</c:v>
                </c:pt>
                <c:pt idx="2">
                  <c:v>Island Park</c:v>
                </c:pt>
                <c:pt idx="3">
                  <c:v>Rexburg</c:v>
                </c:pt>
                <c:pt idx="4">
                  <c:v>St. Anthony</c:v>
                </c:pt>
                <c:pt idx="5">
                  <c:v>Victor </c:v>
                </c:pt>
              </c:strCache>
            </c:strRef>
          </c:cat>
          <c:val>
            <c:numRef>
              <c:f>'[Average Commute Time.xlsx]Sheet1'!$B$3:$G$3</c:f>
              <c:numCache>
                <c:formatCode>General</c:formatCode>
                <c:ptCount val="6"/>
                <c:pt idx="0">
                  <c:v>18.100000000000001</c:v>
                </c:pt>
                <c:pt idx="1">
                  <c:v>31.9</c:v>
                </c:pt>
                <c:pt idx="2">
                  <c:v>10.5</c:v>
                </c:pt>
                <c:pt idx="3">
                  <c:v>12.4</c:v>
                </c:pt>
                <c:pt idx="4">
                  <c:v>19</c:v>
                </c:pt>
                <c:pt idx="5">
                  <c:v>29.2</c:v>
                </c:pt>
              </c:numCache>
            </c:numRef>
          </c:val>
        </c:ser>
        <c:axId val="55976320"/>
        <c:axId val="55977856"/>
      </c:barChart>
      <c:catAx>
        <c:axId val="55976320"/>
        <c:scaling>
          <c:orientation val="minMax"/>
        </c:scaling>
        <c:axPos val="b"/>
        <c:tickLblPos val="nextTo"/>
        <c:crossAx val="55977856"/>
        <c:crosses val="autoZero"/>
        <c:auto val="1"/>
        <c:lblAlgn val="ctr"/>
        <c:lblOffset val="100"/>
      </c:catAx>
      <c:valAx>
        <c:axId val="55977856"/>
        <c:scaling>
          <c:orientation val="minMax"/>
        </c:scaling>
        <c:axPos val="l"/>
        <c:majorGridlines/>
        <c:numFmt formatCode="General" sourceLinked="1"/>
        <c:tickLblPos val="nextTo"/>
        <c:crossAx val="55976320"/>
        <c:crosses val="autoZero"/>
        <c:crossBetween val="between"/>
      </c:valAx>
    </c:plotArea>
    <c:legend>
      <c:legendPos val="r"/>
      <c:layout/>
    </c:legend>
    <c:plotVisOnly val="1"/>
    <c:dispBlanksAs val="gap"/>
  </c:chart>
  <c:externalData r:id="rId1"/>
</c:chartSpace>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E Center Custo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Winter 2012</PublishDate>
  <Abstract>Team: Intern, Capstone Student 1, Capstone Student 2, Capstone Student 3, Capstone Student 4</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USC12</b:Tag>
    <b:SourceType>InternetSite</b:SourceType>
    <b:Guid>{4D30ABAF-A2FC-484E-B237-1BEFDB89B77F}</b:Guid>
    <b:LCID>2115</b:LCID>
    <b:Author>
      <b:Author>
        <b:NameList>
          <b:Person>
            <b:Last>Bureau</b:Last>
            <b:First>U.S.</b:First>
            <b:Middle>Census</b:Middle>
          </b:Person>
        </b:NameList>
      </b:Author>
    </b:Author>
    <b:URL>http://quickfacts.census.gov/qfd/states/16/16081.html</b:URL>
    <b:Year>2012</b:Year>
    <b:Month>06</b:Month>
    <b:Day>14</b:Day>
    <b:RefOrder>1</b:RefOrder>
  </b:Source>
  <b:Source>
    <b:Tag>Bri12</b:Tag>
    <b:SourceType>InternetSite</b:SourceType>
    <b:Guid>{8AE10621-6190-9949-ADE4-6D0776BB97F0}</b:Guid>
    <b:LCID>2115</b:LCID>
    <b:Author>
      <b:Author>
        <b:NameList>
          <b:Person>
            <b:Last>Idaho</b:Last>
            <b:First>Brigham</b:First>
            <b:Middle>Young University</b:Middle>
          </b:Person>
        </b:NameList>
      </b:Author>
    </b:Author>
    <b:URL>http://www2.byui.edu/IR/stats/studentsf00.htm </b:URL>
    <b:Year>2012</b:Year>
    <b:Month>06</b:Month>
    <b:Day>06</b:Day>
    <b:RefOrder>2</b:RefOrder>
  </b:Source>
  <b:Source>
    <b:Tag>Bri121</b:Tag>
    <b:SourceType>InternetSite</b:SourceType>
    <b:Guid>{24798D84-0488-8E42-8F85-C47A5D461AD4}</b:Guid>
    <b:LCID>2115</b:LCID>
    <b:Author>
      <b:Author>
        <b:NameList>
          <b:Person>
            <b:Last>Idaho</b:Last>
            <b:First>Brigham</b:First>
            <b:Middle>Young University</b:Middle>
          </b:Person>
        </b:NameList>
      </b:Author>
    </b:Author>
    <b:URL>http://www2.byui.edu/IR/stats/studentsf10.htm</b:URL>
    <b:Year>2012</b:Year>
    <b:Month>06</b:Month>
    <b:Day>06</b:Day>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629AB8-9EFB-4313-A2A5-93858A5B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8699</Words>
  <Characters>49585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Project</vt:lpstr>
    </vt:vector>
  </TitlesOfParts>
  <Company/>
  <LinksUpToDate>false</LinksUpToDate>
  <CharactersWithSpaces>58168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dc:title>
  <dc:creator>E Center 403</dc:creator>
  <cp:lastModifiedBy>E Center</cp:lastModifiedBy>
  <cp:revision>3</cp:revision>
  <cp:lastPrinted>2012-07-13T20:48:00Z</cp:lastPrinted>
  <dcterms:created xsi:type="dcterms:W3CDTF">2012-07-13T20:47:00Z</dcterms:created>
  <dcterms:modified xsi:type="dcterms:W3CDTF">2012-07-13T20:48:00Z</dcterms:modified>
</cp:coreProperties>
</file>